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rsidP="0031077A">
      <w:pPr>
        <w:spacing w:line="360" w:lineRule="auto"/>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6556D" w:rsidRDefault="00684E84" w:rsidP="0031077A">
            <w:pPr>
              <w:spacing w:line="360" w:lineRule="auto"/>
              <w:jc w:val="both"/>
              <w:rPr>
                <w:rFonts w:ascii="David" w:hAnsi="David"/>
                <w:b/>
                <w:bCs/>
                <w:sz w:val="26"/>
                <w:szCs w:val="26"/>
              </w:rPr>
            </w:pPr>
            <w:r w:rsidRPr="0086556D">
              <w:rPr>
                <w:rFonts w:ascii="David" w:hAnsi="David"/>
                <w:b/>
                <w:bCs/>
                <w:sz w:val="26"/>
                <w:szCs w:val="26"/>
                <w:rtl/>
              </w:rPr>
              <w:t xml:space="preserve">בפני </w:t>
            </w:r>
          </w:p>
        </w:tc>
        <w:tc>
          <w:tcPr>
            <w:tcW w:w="7897" w:type="dxa"/>
            <w:gridSpan w:val="2"/>
            <w:tcBorders>
              <w:top w:val="nil"/>
              <w:left w:val="nil"/>
              <w:bottom w:val="nil"/>
              <w:right w:val="nil"/>
            </w:tcBorders>
          </w:tcPr>
          <w:p w:rsidR="00507694" w:rsidRPr="0086556D" w:rsidRDefault="00F53936" w:rsidP="0031077A">
            <w:pPr>
              <w:spacing w:line="360" w:lineRule="auto"/>
              <w:rPr>
                <w:rFonts w:ascii="David" w:hAnsi="David"/>
                <w:b/>
                <w:bCs/>
                <w:sz w:val="26"/>
                <w:szCs w:val="26"/>
                <w:rtl/>
              </w:rPr>
            </w:pPr>
            <w:r w:rsidRPr="0086556D">
              <w:rPr>
                <w:rFonts w:ascii="David" w:hAnsi="David" w:hint="cs"/>
                <w:b/>
                <w:bCs/>
                <w:sz w:val="26"/>
                <w:szCs w:val="26"/>
                <w:rtl/>
              </w:rPr>
              <w:t>כבוד השופט הבכיר, שאול אבינור</w:t>
            </w:r>
          </w:p>
          <w:p w:rsidR="00F53936" w:rsidRPr="00822550" w:rsidRDefault="00F53936" w:rsidP="0031077A">
            <w:pPr>
              <w:spacing w:line="360" w:lineRule="auto"/>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rsidP="0031077A">
            <w:pPr>
              <w:spacing w:line="360" w:lineRule="auto"/>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Pr="001142D8" w:rsidRDefault="00F53936" w:rsidP="0031077A">
            <w:pPr>
              <w:suppressLineNumbers/>
              <w:spacing w:line="360" w:lineRule="auto"/>
            </w:pPr>
            <w:r w:rsidRPr="001142D8">
              <w:rPr>
                <w:rFonts w:ascii="Arial" w:hAnsi="Arial" w:hint="cs"/>
                <w:b/>
                <w:bCs/>
                <w:sz w:val="26"/>
                <w:szCs w:val="26"/>
                <w:rtl/>
              </w:rPr>
              <w:t>המאשימה:</w:t>
            </w:r>
          </w:p>
          <w:p w:rsidR="00507694" w:rsidRPr="000F2247" w:rsidRDefault="00507694" w:rsidP="0031077A">
            <w:pPr>
              <w:spacing w:line="360" w:lineRule="auto"/>
              <w:rPr>
                <w:rFonts w:ascii="David" w:hAnsi="David"/>
                <w:sz w:val="26"/>
                <w:szCs w:val="26"/>
              </w:rPr>
            </w:pPr>
          </w:p>
        </w:tc>
        <w:tc>
          <w:tcPr>
            <w:tcW w:w="4678" w:type="dxa"/>
            <w:tcBorders>
              <w:top w:val="nil"/>
              <w:left w:val="nil"/>
              <w:bottom w:val="nil"/>
              <w:right w:val="nil"/>
            </w:tcBorders>
            <w:vAlign w:val="center"/>
          </w:tcPr>
          <w:p w:rsidR="001142D8" w:rsidRDefault="006C3872" w:rsidP="0031077A">
            <w:pPr>
              <w:suppressLineNumbers/>
              <w:spacing w:line="360" w:lineRule="auto"/>
              <w:rPr>
                <w:rFonts w:ascii="Arial" w:hAnsi="Arial"/>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73C3D">
                  <w:rPr>
                    <w:rFonts w:ascii="Arial" w:hAnsi="Arial"/>
                    <w:b/>
                    <w:bCs/>
                    <w:sz w:val="26"/>
                    <w:szCs w:val="26"/>
                    <w:rtl/>
                  </w:rPr>
                  <w:t>מדינת ישראל</w:t>
                </w:r>
              </w:sdtContent>
            </w:sdt>
            <w:r w:rsidR="009705CC">
              <w:rPr>
                <w:rFonts w:ascii="Arial" w:hAnsi="Arial" w:hint="cs"/>
                <w:b/>
                <w:bCs/>
                <w:sz w:val="26"/>
                <w:szCs w:val="26"/>
                <w:rtl/>
              </w:rPr>
              <w:t xml:space="preserve"> </w:t>
            </w:r>
          </w:p>
          <w:p w:rsidR="000F2247" w:rsidRDefault="009705CC" w:rsidP="0031077A">
            <w:pPr>
              <w:suppressLineNumbers/>
              <w:spacing w:line="360" w:lineRule="auto"/>
              <w:rPr>
                <w:rFonts w:ascii="Arial" w:hAnsi="Arial"/>
                <w:rtl/>
              </w:rPr>
            </w:pPr>
            <w:r w:rsidRPr="00F53936">
              <w:rPr>
                <w:rFonts w:ascii="Arial" w:hAnsi="Arial"/>
                <w:rtl/>
              </w:rPr>
              <w:t>ע"י</w:t>
            </w:r>
            <w:r>
              <w:rPr>
                <w:rFonts w:ascii="Arial" w:hAnsi="Arial"/>
                <w:b/>
                <w:bCs/>
                <w:sz w:val="26"/>
                <w:szCs w:val="26"/>
                <w:rtl/>
              </w:rPr>
              <w:t xml:space="preserve"> </w:t>
            </w:r>
            <w:r w:rsidR="0031077A">
              <w:rPr>
                <w:rFonts w:ascii="Arial" w:hAnsi="Arial"/>
                <w:rtl/>
              </w:rPr>
              <w:t>ב"כ עו</w:t>
            </w:r>
            <w:r w:rsidRPr="00F53936">
              <w:rPr>
                <w:rFonts w:ascii="Arial" w:hAnsi="Arial"/>
                <w:rtl/>
              </w:rPr>
              <w:t>"ד</w:t>
            </w:r>
            <w:r w:rsidR="0031077A">
              <w:rPr>
                <w:rFonts w:ascii="Arial" w:hAnsi="Arial" w:hint="cs"/>
                <w:rtl/>
              </w:rPr>
              <w:t xml:space="preserve"> צופיה טייץ</w:t>
            </w:r>
          </w:p>
          <w:p w:rsidR="00507694" w:rsidRPr="0031077A" w:rsidRDefault="0031077A" w:rsidP="0031077A">
            <w:pPr>
              <w:suppressLineNumbers/>
              <w:spacing w:line="360" w:lineRule="auto"/>
            </w:pPr>
            <w:r>
              <w:rPr>
                <w:rFonts w:hint="cs"/>
                <w:rtl/>
              </w:rPr>
              <w:t>פרקליטות מחוז תל אביב (פלילי)</w:t>
            </w:r>
          </w:p>
        </w:tc>
      </w:tr>
      <w:tr w:rsidR="00507694" w:rsidRPr="00822550">
        <w:trPr>
          <w:trHeight w:val="355"/>
          <w:jc w:val="center"/>
        </w:trPr>
        <w:tc>
          <w:tcPr>
            <w:tcW w:w="923" w:type="dxa"/>
            <w:tcBorders>
              <w:top w:val="nil"/>
              <w:left w:val="nil"/>
              <w:bottom w:val="nil"/>
              <w:right w:val="nil"/>
            </w:tcBorders>
          </w:tcPr>
          <w:p w:rsidR="00507694" w:rsidRPr="00822550" w:rsidRDefault="00507694" w:rsidP="0031077A">
            <w:pPr>
              <w:spacing w:line="360" w:lineRule="auto"/>
              <w:jc w:val="both"/>
              <w:rPr>
                <w:rFonts w:ascii="David" w:hAnsi="David"/>
                <w:sz w:val="26"/>
                <w:szCs w:val="26"/>
                <w:rtl/>
              </w:rPr>
            </w:pPr>
          </w:p>
        </w:tc>
        <w:tc>
          <w:tcPr>
            <w:tcW w:w="7897" w:type="dxa"/>
            <w:gridSpan w:val="2"/>
            <w:tcBorders>
              <w:top w:val="nil"/>
              <w:left w:val="nil"/>
              <w:bottom w:val="nil"/>
              <w:right w:val="nil"/>
            </w:tcBorders>
          </w:tcPr>
          <w:p w:rsidR="00507694" w:rsidRDefault="00507694" w:rsidP="0031077A">
            <w:pPr>
              <w:spacing w:line="360" w:lineRule="auto"/>
              <w:jc w:val="center"/>
              <w:rPr>
                <w:rFonts w:ascii="David" w:hAnsi="David"/>
                <w:b/>
                <w:bCs/>
                <w:sz w:val="26"/>
                <w:szCs w:val="26"/>
                <w:rtl/>
              </w:rPr>
            </w:pPr>
          </w:p>
          <w:p w:rsidR="0031077A" w:rsidRPr="00822550" w:rsidRDefault="0031077A" w:rsidP="0031077A">
            <w:pPr>
              <w:spacing w:line="360" w:lineRule="auto"/>
              <w:jc w:val="center"/>
              <w:rPr>
                <w:rFonts w:ascii="David" w:hAnsi="David"/>
                <w:b/>
                <w:bCs/>
                <w:sz w:val="26"/>
                <w:szCs w:val="26"/>
                <w:rtl/>
              </w:rPr>
            </w:pPr>
          </w:p>
          <w:p w:rsidR="00507694" w:rsidRPr="00822550" w:rsidRDefault="00684E84" w:rsidP="0031077A">
            <w:pPr>
              <w:spacing w:line="360" w:lineRule="auto"/>
              <w:jc w:val="center"/>
              <w:rPr>
                <w:rFonts w:ascii="David" w:hAnsi="David"/>
                <w:b/>
                <w:bCs/>
                <w:sz w:val="26"/>
                <w:szCs w:val="26"/>
                <w:rtl/>
              </w:rPr>
            </w:pPr>
            <w:r w:rsidRPr="00822550">
              <w:rPr>
                <w:rFonts w:ascii="David" w:hAnsi="David"/>
                <w:b/>
                <w:bCs/>
                <w:sz w:val="26"/>
                <w:szCs w:val="26"/>
                <w:rtl/>
              </w:rPr>
              <w:t>נגד</w:t>
            </w:r>
          </w:p>
          <w:p w:rsidR="00507694" w:rsidRDefault="00507694" w:rsidP="0031077A">
            <w:pPr>
              <w:spacing w:line="360" w:lineRule="auto"/>
              <w:jc w:val="both"/>
              <w:rPr>
                <w:rFonts w:ascii="David" w:hAnsi="David"/>
                <w:sz w:val="26"/>
                <w:szCs w:val="26"/>
                <w:rtl/>
              </w:rPr>
            </w:pPr>
          </w:p>
          <w:p w:rsidR="0031077A" w:rsidRPr="00822550" w:rsidRDefault="0031077A" w:rsidP="0031077A">
            <w:pPr>
              <w:spacing w:line="360" w:lineRule="auto"/>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1077A">
            <w:pPr>
              <w:spacing w:line="360" w:lineRule="auto"/>
              <w:rPr>
                <w:rFonts w:ascii="David" w:hAnsi="David"/>
                <w:sz w:val="26"/>
                <w:szCs w:val="26"/>
                <w:rtl/>
              </w:rPr>
            </w:pPr>
          </w:p>
        </w:tc>
        <w:tc>
          <w:tcPr>
            <w:tcW w:w="3219" w:type="dxa"/>
            <w:tcBorders>
              <w:top w:val="nil"/>
              <w:left w:val="nil"/>
              <w:bottom w:val="nil"/>
              <w:right w:val="nil"/>
            </w:tcBorders>
          </w:tcPr>
          <w:p w:rsidR="00507694" w:rsidRPr="001142D8" w:rsidRDefault="00F53936" w:rsidP="0031077A">
            <w:pPr>
              <w:spacing w:line="360" w:lineRule="auto"/>
              <w:rPr>
                <w:rFonts w:ascii="Arial" w:hAnsi="Arial"/>
                <w:b/>
                <w:bCs/>
                <w:sz w:val="26"/>
                <w:szCs w:val="26"/>
                <w:rtl/>
              </w:rPr>
            </w:pPr>
            <w:r w:rsidRPr="001142D8">
              <w:rPr>
                <w:rFonts w:ascii="Arial" w:hAnsi="Arial" w:hint="cs"/>
                <w:b/>
                <w:bCs/>
                <w:sz w:val="26"/>
                <w:szCs w:val="26"/>
                <w:rtl/>
              </w:rPr>
              <w:t>הנאשם:</w:t>
            </w:r>
          </w:p>
        </w:tc>
        <w:tc>
          <w:tcPr>
            <w:tcW w:w="4678" w:type="dxa"/>
            <w:tcBorders>
              <w:top w:val="nil"/>
              <w:left w:val="nil"/>
              <w:bottom w:val="nil"/>
              <w:right w:val="nil"/>
            </w:tcBorders>
            <w:vAlign w:val="center"/>
          </w:tcPr>
          <w:p w:rsidR="001142D8" w:rsidRDefault="006C3872" w:rsidP="0031077A">
            <w:pPr>
              <w:suppressLineNumbers/>
              <w:spacing w:line="360" w:lineRule="auto"/>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73C3D">
                  <w:rPr>
                    <w:rFonts w:ascii="Arial" w:hAnsi="Arial"/>
                    <w:b/>
                    <w:bCs/>
                    <w:sz w:val="26"/>
                    <w:szCs w:val="26"/>
                    <w:rtl/>
                  </w:rPr>
                  <w:t xml:space="preserve">MANU CHOLAPPALLY </w:t>
                </w:r>
              </w:sdtContent>
            </w:sdt>
            <w:r w:rsidR="009705CC">
              <w:rPr>
                <w:rFonts w:ascii="Arial" w:hAnsi="Arial" w:hint="cs"/>
                <w:b/>
                <w:bCs/>
                <w:sz w:val="26"/>
                <w:szCs w:val="26"/>
                <w:rtl/>
              </w:rPr>
              <w:t xml:space="preserve"> </w:t>
            </w:r>
          </w:p>
          <w:p w:rsidR="000F2247" w:rsidRDefault="009705CC" w:rsidP="0031077A">
            <w:pPr>
              <w:suppressLineNumbers/>
              <w:spacing w:line="360" w:lineRule="auto"/>
            </w:pPr>
            <w:r w:rsidRPr="00F53936">
              <w:rPr>
                <w:rFonts w:ascii="Arial" w:hAnsi="Arial"/>
                <w:rtl/>
              </w:rPr>
              <w:t>ע"י</w:t>
            </w:r>
            <w:r>
              <w:rPr>
                <w:rFonts w:ascii="Arial" w:hAnsi="Arial"/>
                <w:b/>
                <w:bCs/>
                <w:sz w:val="26"/>
                <w:szCs w:val="26"/>
                <w:rtl/>
              </w:rPr>
              <w:t xml:space="preserve"> </w:t>
            </w:r>
            <w:r w:rsidR="0031077A">
              <w:rPr>
                <w:rFonts w:ascii="Arial" w:hAnsi="Arial"/>
                <w:rtl/>
              </w:rPr>
              <w:t>ב"כ עו</w:t>
            </w:r>
            <w:r w:rsidR="0031077A">
              <w:rPr>
                <w:rFonts w:ascii="Arial" w:hAnsi="Arial" w:hint="cs"/>
                <w:rtl/>
              </w:rPr>
              <w:t>"ד רועי שרמן</w:t>
            </w:r>
          </w:p>
          <w:p w:rsidR="00507694" w:rsidRPr="0031077A" w:rsidRDefault="00507694" w:rsidP="0031077A">
            <w:pPr>
              <w:spacing w:line="360" w:lineRule="auto"/>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1077A">
            <w:pPr>
              <w:spacing w:line="360" w:lineRule="auto"/>
              <w:jc w:val="both"/>
              <w:rPr>
                <w:rFonts w:ascii="David" w:hAnsi="David"/>
                <w:sz w:val="26"/>
                <w:szCs w:val="26"/>
                <w:rtl/>
              </w:rPr>
            </w:pPr>
          </w:p>
        </w:tc>
        <w:tc>
          <w:tcPr>
            <w:tcW w:w="3219" w:type="dxa"/>
            <w:tcBorders>
              <w:top w:val="nil"/>
              <w:left w:val="nil"/>
              <w:bottom w:val="nil"/>
              <w:right w:val="nil"/>
            </w:tcBorders>
          </w:tcPr>
          <w:p w:rsidR="00507694" w:rsidRPr="00822550" w:rsidRDefault="00507694" w:rsidP="0031077A">
            <w:pPr>
              <w:spacing w:line="360" w:lineRule="auto"/>
              <w:jc w:val="both"/>
              <w:rPr>
                <w:rFonts w:ascii="David" w:hAnsi="David"/>
                <w:sz w:val="26"/>
                <w:szCs w:val="26"/>
                <w:rtl/>
              </w:rPr>
            </w:pPr>
          </w:p>
        </w:tc>
        <w:tc>
          <w:tcPr>
            <w:tcW w:w="4678" w:type="dxa"/>
            <w:tcBorders>
              <w:top w:val="nil"/>
              <w:left w:val="nil"/>
              <w:bottom w:val="nil"/>
              <w:right w:val="nil"/>
            </w:tcBorders>
          </w:tcPr>
          <w:p w:rsidR="00507694" w:rsidRPr="00822550" w:rsidRDefault="00507694" w:rsidP="0031077A">
            <w:pPr>
              <w:spacing w:line="360" w:lineRule="auto"/>
              <w:jc w:val="right"/>
              <w:rPr>
                <w:rFonts w:ascii="David" w:hAnsi="David"/>
                <w:sz w:val="26"/>
                <w:szCs w:val="26"/>
              </w:rPr>
            </w:pPr>
          </w:p>
        </w:tc>
      </w:tr>
    </w:tbl>
    <w:p w:rsidR="00507694" w:rsidRDefault="00507694" w:rsidP="0031077A">
      <w:pPr>
        <w:spacing w:line="360" w:lineRule="auto"/>
        <w:rPr>
          <w:sz w:val="26"/>
          <w:szCs w:val="26"/>
          <w:rtl/>
        </w:rPr>
      </w:pPr>
    </w:p>
    <w:p w:rsidR="00DA1B9D" w:rsidRPr="00822550" w:rsidRDefault="00DA1B9D" w:rsidP="0031077A">
      <w:pPr>
        <w:spacing w:line="360" w:lineRule="auto"/>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F53936" w:rsidRDefault="00684E84" w:rsidP="0031077A">
            <w:pPr>
              <w:spacing w:line="360" w:lineRule="auto"/>
              <w:jc w:val="center"/>
              <w:rPr>
                <w:rFonts w:ascii="David" w:hAnsi="David"/>
                <w:sz w:val="36"/>
                <w:szCs w:val="36"/>
                <w:u w:val="single"/>
                <w:rtl/>
              </w:rPr>
            </w:pPr>
            <w:r w:rsidRPr="00F53936">
              <w:rPr>
                <w:rFonts w:ascii="David" w:hAnsi="David"/>
                <w:b/>
                <w:bCs/>
                <w:sz w:val="36"/>
                <w:szCs w:val="36"/>
                <w:u w:val="single"/>
                <w:rtl/>
              </w:rPr>
              <w:t>גזר דין</w:t>
            </w:r>
          </w:p>
        </w:tc>
      </w:tr>
    </w:tbl>
    <w:p w:rsidR="00DA1B9D" w:rsidRDefault="00DA1B9D" w:rsidP="00DA1B9D">
      <w:pPr>
        <w:numPr>
          <w:ilvl w:val="0"/>
          <w:numId w:val="3"/>
        </w:numPr>
        <w:spacing w:after="120" w:line="360" w:lineRule="auto"/>
        <w:ind w:left="368"/>
        <w:jc w:val="both"/>
        <w:rPr>
          <w:rFonts w:ascii="Tahoma" w:hAnsi="Tahoma"/>
          <w:b/>
          <w:bCs/>
          <w:u w:val="single"/>
          <w:rtl/>
        </w:rPr>
      </w:pPr>
      <w:r>
        <w:rPr>
          <w:rFonts w:ascii="Tahoma" w:hAnsi="Tahoma"/>
          <w:b/>
          <w:bCs/>
          <w:u w:val="single"/>
          <w:rtl/>
        </w:rPr>
        <w:t>רקע כללי:</w:t>
      </w:r>
    </w:p>
    <w:p w:rsidR="00DA1B9D" w:rsidRDefault="00DA1B9D" w:rsidP="00DA1B9D">
      <w:pPr>
        <w:numPr>
          <w:ilvl w:val="0"/>
          <w:numId w:val="4"/>
        </w:numPr>
        <w:spacing w:after="120" w:line="360" w:lineRule="auto"/>
        <w:ind w:left="360"/>
        <w:jc w:val="both"/>
        <w:rPr>
          <w:rFonts w:ascii="Tahoma" w:hAnsi="Tahoma"/>
        </w:rPr>
      </w:pPr>
      <w:bookmarkStart w:id="1" w:name="ABSTRACT_START"/>
      <w:bookmarkEnd w:id="1"/>
      <w:r>
        <w:rPr>
          <w:rFonts w:ascii="Tahoma" w:hAnsi="Tahoma"/>
          <w:rtl/>
        </w:rPr>
        <w:t xml:space="preserve">הנאשם הורשע – על יסוד הודאתו בעובדות כתב האישום, שניתנה במסגרת הסדר טיעון – בביצוע עבירות של </w:t>
      </w:r>
      <w:r>
        <w:rPr>
          <w:rFonts w:ascii="Tahoma" w:hAnsi="Tahoma"/>
          <w:b/>
          <w:bCs/>
          <w:rtl/>
        </w:rPr>
        <w:t>מעשה מגונה</w:t>
      </w:r>
      <w:r>
        <w:rPr>
          <w:rFonts w:ascii="Tahoma" w:hAnsi="Tahoma"/>
          <w:rtl/>
        </w:rPr>
        <w:t>, לפי הוראות סעיף 348(ג) לחוק העונשין, תשל"ז-1977 (להלן – חוק העונשין), ו</w:t>
      </w:r>
      <w:r>
        <w:rPr>
          <w:rFonts w:ascii="Tahoma" w:hAnsi="Tahoma"/>
          <w:b/>
          <w:bCs/>
          <w:rtl/>
        </w:rPr>
        <w:t>תקיפת שוטר</w:t>
      </w:r>
      <w:r>
        <w:rPr>
          <w:rFonts w:ascii="Tahoma" w:hAnsi="Tahoma"/>
          <w:rtl/>
        </w:rPr>
        <w:t>, לפי הוראות סעיף 273 לחוק העונשין.</w:t>
      </w:r>
    </w:p>
    <w:p w:rsidR="003E6B2F" w:rsidRDefault="00DA1B9D" w:rsidP="003E6B2F">
      <w:pPr>
        <w:numPr>
          <w:ilvl w:val="0"/>
          <w:numId w:val="4"/>
        </w:numPr>
        <w:spacing w:after="120" w:line="360" w:lineRule="auto"/>
        <w:ind w:left="360"/>
        <w:jc w:val="both"/>
        <w:rPr>
          <w:rFonts w:ascii="Tahoma" w:hAnsi="Tahoma"/>
        </w:rPr>
      </w:pPr>
      <w:r>
        <w:rPr>
          <w:rFonts w:ascii="Tahoma" w:hAnsi="Tahoma"/>
          <w:rtl/>
        </w:rPr>
        <w:t>הנאשם הוא אזרח הודו ובתקופה הרלוואנטית לכתב האישום המתוקן עבד בישראל כמטפל סיעודי</w:t>
      </w:r>
      <w:r w:rsidR="003E6B2F">
        <w:rPr>
          <w:rFonts w:ascii="Tahoma" w:hAnsi="Tahoma" w:hint="cs"/>
          <w:rtl/>
        </w:rPr>
        <w:t xml:space="preserve">. הנאשם </w:t>
      </w:r>
      <w:r>
        <w:rPr>
          <w:rFonts w:ascii="Tahoma" w:hAnsi="Tahoma"/>
          <w:rtl/>
        </w:rPr>
        <w:t>התגורר בדירת מעסיקו</w:t>
      </w:r>
      <w:r w:rsidR="003E6B2F">
        <w:rPr>
          <w:rFonts w:ascii="Tahoma" w:hAnsi="Tahoma" w:hint="cs"/>
          <w:rtl/>
        </w:rPr>
        <w:t xml:space="preserve"> החולה</w:t>
      </w:r>
      <w:r>
        <w:rPr>
          <w:rFonts w:ascii="Tahoma" w:hAnsi="Tahoma"/>
          <w:rtl/>
        </w:rPr>
        <w:t xml:space="preserve">, </w:t>
      </w:r>
      <w:r w:rsidR="00577311">
        <w:rPr>
          <w:rFonts w:ascii="Tahoma" w:hAnsi="Tahoma" w:hint="cs"/>
          <w:rtl/>
        </w:rPr>
        <w:t xml:space="preserve">המצויה </w:t>
      </w:r>
      <w:r w:rsidR="003E6B2F">
        <w:rPr>
          <w:rFonts w:ascii="Tahoma" w:hAnsi="Tahoma"/>
          <w:rtl/>
        </w:rPr>
        <w:t>בבניין ברחוב עלומים ברמת גן.</w:t>
      </w:r>
    </w:p>
    <w:p w:rsidR="00DA1B9D" w:rsidRDefault="00DA1B9D" w:rsidP="003E6B2F">
      <w:pPr>
        <w:numPr>
          <w:ilvl w:val="0"/>
          <w:numId w:val="4"/>
        </w:numPr>
        <w:spacing w:after="120" w:line="360" w:lineRule="auto"/>
        <w:ind w:left="360"/>
        <w:jc w:val="both"/>
        <w:rPr>
          <w:rFonts w:ascii="Tahoma" w:hAnsi="Tahoma"/>
        </w:rPr>
      </w:pPr>
      <w:r>
        <w:rPr>
          <w:rFonts w:ascii="Tahoma" w:hAnsi="Tahoma"/>
          <w:rtl/>
        </w:rPr>
        <w:t xml:space="preserve">כתב </w:t>
      </w:r>
      <w:r w:rsidR="003E6B2F">
        <w:rPr>
          <w:rFonts w:ascii="Tahoma" w:hAnsi="Tahoma"/>
          <w:rtl/>
        </w:rPr>
        <w:t xml:space="preserve">האישום המתוקן אוחז שני אישומים </w:t>
      </w:r>
      <w:r w:rsidR="003E6B2F">
        <w:rPr>
          <w:rFonts w:ascii="Tahoma" w:hAnsi="Tahoma" w:hint="cs"/>
          <w:rtl/>
        </w:rPr>
        <w:t>ש</w:t>
      </w:r>
      <w:r>
        <w:rPr>
          <w:rFonts w:ascii="Tahoma" w:hAnsi="Tahoma"/>
          <w:rtl/>
        </w:rPr>
        <w:t>בהם נטען, בתמצית, כלהלן:</w:t>
      </w:r>
    </w:p>
    <w:p w:rsidR="00DA1B9D" w:rsidRDefault="00DA1B9D" w:rsidP="00DA1B9D">
      <w:pPr>
        <w:spacing w:after="120" w:line="360" w:lineRule="auto"/>
        <w:ind w:firstLine="360"/>
        <w:jc w:val="both"/>
        <w:rPr>
          <w:rFonts w:ascii="Tahoma" w:hAnsi="Tahoma"/>
          <w:b/>
          <w:bCs/>
          <w:u w:val="single"/>
        </w:rPr>
      </w:pPr>
      <w:r>
        <w:rPr>
          <w:rFonts w:ascii="Tahoma" w:hAnsi="Tahoma"/>
          <w:b/>
          <w:bCs/>
          <w:u w:val="single"/>
          <w:rtl/>
        </w:rPr>
        <w:t>אישום ראשון:</w:t>
      </w:r>
    </w:p>
    <w:p w:rsidR="00DA1B9D" w:rsidRDefault="00DA1B9D" w:rsidP="00DA1B9D">
      <w:pPr>
        <w:pStyle w:val="ab"/>
        <w:numPr>
          <w:ilvl w:val="0"/>
          <w:numId w:val="5"/>
        </w:numPr>
        <w:spacing w:after="120" w:line="360" w:lineRule="auto"/>
        <w:ind w:left="720"/>
        <w:jc w:val="both"/>
        <w:rPr>
          <w:rFonts w:ascii="Tahoma" w:hAnsi="Tahoma"/>
        </w:rPr>
      </w:pPr>
      <w:r>
        <w:rPr>
          <w:rFonts w:ascii="Tahoma" w:hAnsi="Tahoma"/>
          <w:rtl/>
        </w:rPr>
        <w:t>עובר ליום 12.08.2022 היו הנאשם והמתלוננת – שהתגוררה בדירה סמוכה ב</w:t>
      </w:r>
      <w:r w:rsidR="00577311">
        <w:rPr>
          <w:rFonts w:ascii="Tahoma" w:hAnsi="Tahoma" w:hint="cs"/>
          <w:rtl/>
        </w:rPr>
        <w:t>אותו ה</w:t>
      </w:r>
      <w:r>
        <w:rPr>
          <w:rFonts w:ascii="Tahoma" w:hAnsi="Tahoma"/>
          <w:rtl/>
        </w:rPr>
        <w:t>בניין – מסוכסכים בשל נביחות חוזרות ונשנות של כלבו של הנאשם.</w:t>
      </w:r>
    </w:p>
    <w:p w:rsidR="00DA1B9D" w:rsidRDefault="00DA1B9D" w:rsidP="00DA1B9D">
      <w:pPr>
        <w:pStyle w:val="ab"/>
        <w:numPr>
          <w:ilvl w:val="0"/>
          <w:numId w:val="5"/>
        </w:numPr>
        <w:spacing w:after="120" w:line="360" w:lineRule="auto"/>
        <w:ind w:left="720"/>
        <w:jc w:val="both"/>
        <w:rPr>
          <w:rFonts w:ascii="Tahoma" w:hAnsi="Tahoma"/>
        </w:rPr>
      </w:pPr>
      <w:r>
        <w:rPr>
          <w:rFonts w:ascii="Tahoma" w:hAnsi="Tahoma"/>
          <w:rtl/>
        </w:rPr>
        <w:t xml:space="preserve">ביום 12.08.2022, בשעה 19:00 או בסמוך לכך, נכנסה המתלוננת למעלית בבניין בעת שהנאשם שהה בתוכה. הנאשם התקרב אל המתלוננת ונגע בחזה, בבטנה ובידיה. המתלוננת </w:t>
      </w:r>
      <w:r>
        <w:rPr>
          <w:rFonts w:ascii="Tahoma" w:hAnsi="Tahoma"/>
          <w:rtl/>
        </w:rPr>
        <w:lastRenderedPageBreak/>
        <w:t>ניסתה להדוף את הנאשם באמצעות ידיה אך הנאשם אחז בידה וניסה להיצמד אל גופה. לבסוף נפתחה דלת המעלית והמתלוננת יצאה ממנה.</w:t>
      </w:r>
    </w:p>
    <w:p w:rsidR="00DA1B9D" w:rsidRDefault="00DA1B9D" w:rsidP="00DA1B9D">
      <w:pPr>
        <w:pStyle w:val="ab"/>
        <w:numPr>
          <w:ilvl w:val="0"/>
          <w:numId w:val="5"/>
        </w:numPr>
        <w:spacing w:after="120" w:line="360" w:lineRule="auto"/>
        <w:ind w:left="720"/>
        <w:jc w:val="both"/>
        <w:rPr>
          <w:rFonts w:ascii="Tahoma" w:hAnsi="Tahoma"/>
        </w:rPr>
      </w:pPr>
      <w:r>
        <w:rPr>
          <w:rFonts w:ascii="Tahoma" w:hAnsi="Tahoma"/>
          <w:rtl/>
        </w:rPr>
        <w:t>הנאשם הואשם אפוא, באישום זה, בביצוע עבירה של מעשה מגונה.</w:t>
      </w:r>
    </w:p>
    <w:p w:rsidR="00DA1B9D" w:rsidRDefault="00DA1B9D" w:rsidP="00DA1B9D">
      <w:pPr>
        <w:spacing w:after="120" w:line="360" w:lineRule="auto"/>
        <w:ind w:firstLine="360"/>
        <w:jc w:val="both"/>
        <w:rPr>
          <w:rFonts w:ascii="Tahoma" w:hAnsi="Tahoma"/>
          <w:b/>
          <w:bCs/>
          <w:u w:val="single"/>
        </w:rPr>
      </w:pPr>
      <w:r>
        <w:rPr>
          <w:rFonts w:ascii="Tahoma" w:hAnsi="Tahoma"/>
          <w:b/>
          <w:bCs/>
          <w:u w:val="single"/>
          <w:rtl/>
        </w:rPr>
        <w:t>אישום שני:</w:t>
      </w:r>
    </w:p>
    <w:p w:rsidR="00DA1B9D" w:rsidRDefault="00DA1B9D" w:rsidP="003E6B2F">
      <w:pPr>
        <w:pStyle w:val="ab"/>
        <w:numPr>
          <w:ilvl w:val="0"/>
          <w:numId w:val="6"/>
        </w:numPr>
        <w:spacing w:after="120" w:line="360" w:lineRule="auto"/>
        <w:ind w:left="720"/>
        <w:jc w:val="both"/>
        <w:rPr>
          <w:rFonts w:ascii="Tahoma" w:hAnsi="Tahoma"/>
        </w:rPr>
      </w:pPr>
      <w:r>
        <w:rPr>
          <w:rFonts w:ascii="Tahoma" w:hAnsi="Tahoma"/>
          <w:rtl/>
        </w:rPr>
        <w:t>בעקבות האירוע מושא האישום הראשון נעצר הנאשם בתחנת בני ברק. ביום 14.08.2022, בשעה 19:00 או בסמוך לכך</w:t>
      </w:r>
      <w:r w:rsidR="003E6B2F">
        <w:rPr>
          <w:rFonts w:ascii="Tahoma" w:hAnsi="Tahoma" w:hint="cs"/>
          <w:rtl/>
        </w:rPr>
        <w:t>,</w:t>
      </w:r>
      <w:r w:rsidR="003E6B2F">
        <w:rPr>
          <w:rFonts w:ascii="Tahoma" w:hAnsi="Tahoma"/>
          <w:rtl/>
        </w:rPr>
        <w:t xml:space="preserve"> </w:t>
      </w:r>
      <w:r w:rsidR="003E6B2F">
        <w:rPr>
          <w:rFonts w:ascii="Tahoma" w:hAnsi="Tahoma" w:hint="cs"/>
          <w:rtl/>
        </w:rPr>
        <w:t>ב</w:t>
      </w:r>
      <w:r>
        <w:rPr>
          <w:rFonts w:ascii="Tahoma" w:hAnsi="Tahoma"/>
          <w:rtl/>
        </w:rPr>
        <w:t xml:space="preserve">עת שהנאשם </w:t>
      </w:r>
      <w:r w:rsidR="003E6B2F">
        <w:rPr>
          <w:rFonts w:ascii="Tahoma" w:hAnsi="Tahoma" w:hint="cs"/>
          <w:rtl/>
        </w:rPr>
        <w:t xml:space="preserve">שהה </w:t>
      </w:r>
      <w:r>
        <w:rPr>
          <w:rFonts w:ascii="Tahoma" w:hAnsi="Tahoma"/>
          <w:rtl/>
        </w:rPr>
        <w:t>בתא המעצר בתחנה, הוא השתולל בכך שהטיח את ידיו וראשו בדלת התא.</w:t>
      </w:r>
    </w:p>
    <w:p w:rsidR="00DA1B9D" w:rsidRDefault="00DA1B9D" w:rsidP="00DA1B9D">
      <w:pPr>
        <w:pStyle w:val="ab"/>
        <w:numPr>
          <w:ilvl w:val="0"/>
          <w:numId w:val="6"/>
        </w:numPr>
        <w:spacing w:after="120" w:line="360" w:lineRule="auto"/>
        <w:ind w:left="720"/>
        <w:jc w:val="both"/>
        <w:rPr>
          <w:rFonts w:ascii="Tahoma" w:hAnsi="Tahoma"/>
        </w:rPr>
      </w:pPr>
      <w:r>
        <w:rPr>
          <w:rFonts w:ascii="Tahoma" w:hAnsi="Tahoma"/>
          <w:rtl/>
        </w:rPr>
        <w:t>כיוון שהנאשם לא נענה לבקשתם לחדול ממעשיו, נכנסו שני שוטרים לתא ובמהלך ניסיונם להעביר את אזיקי ידיו של הנאשם לאחור, בעט הנאשם בגופו של שוטר אחד ואחז באמצעות ידו ברגלו הימנית של השוטר. בהמשך אחז הנאשם בחולצתו של השוטר השני, בחוזקה, וקרע אותה, וכן קרע שרשרת שהייתה על צווארו. הנאשם גם תקף שוטר נוסף, שנכנס לתא כדי לסייע לחבריו, בכך שאחז בגופייתו וקרע אותה. הנאשם חדל ממעשיו לאחר שנעשה נגדו שימוש בטייזר משטרתי.</w:t>
      </w:r>
    </w:p>
    <w:p w:rsidR="00DA1B9D" w:rsidRDefault="00DA1B9D" w:rsidP="003E6B2F">
      <w:pPr>
        <w:pStyle w:val="ab"/>
        <w:numPr>
          <w:ilvl w:val="0"/>
          <w:numId w:val="6"/>
        </w:numPr>
        <w:spacing w:after="120" w:line="360" w:lineRule="auto"/>
        <w:ind w:left="720"/>
        <w:jc w:val="both"/>
        <w:rPr>
          <w:rFonts w:ascii="Tahoma" w:hAnsi="Tahoma"/>
        </w:rPr>
      </w:pPr>
      <w:r>
        <w:rPr>
          <w:rFonts w:ascii="Tahoma" w:hAnsi="Tahoma"/>
          <w:rtl/>
        </w:rPr>
        <w:t>לאחר מכן</w:t>
      </w:r>
      <w:r w:rsidR="003E6B2F">
        <w:rPr>
          <w:rFonts w:ascii="Tahoma" w:hAnsi="Tahoma" w:hint="cs"/>
          <w:rtl/>
        </w:rPr>
        <w:t>,</w:t>
      </w:r>
      <w:r>
        <w:rPr>
          <w:rFonts w:ascii="Tahoma" w:hAnsi="Tahoma"/>
          <w:rtl/>
        </w:rPr>
        <w:t xml:space="preserve"> כשהוציאו השוטרים את הנאשם מהתא במטרה להובילו לניידת משטרה, השתולל הנאשם וניסה למנוע זאת מהם בכך שבעט ברגליו בגופו של אחד השוטרים. כתולדה ממעשים אלה נגרם לשוטר חתך אדמומ</w:t>
      </w:r>
      <w:r w:rsidR="00577311">
        <w:rPr>
          <w:rFonts w:ascii="Tahoma" w:hAnsi="Tahoma"/>
          <w:rtl/>
        </w:rPr>
        <w:t>י מאחורי א</w:t>
      </w:r>
      <w:r w:rsidR="00577311">
        <w:rPr>
          <w:rFonts w:ascii="Tahoma" w:hAnsi="Tahoma" w:hint="cs"/>
          <w:rtl/>
        </w:rPr>
        <w:t>ו</w:t>
      </w:r>
      <w:r w:rsidR="00577311">
        <w:rPr>
          <w:rFonts w:ascii="Tahoma" w:hAnsi="Tahoma"/>
          <w:rtl/>
        </w:rPr>
        <w:t>זנ</w:t>
      </w:r>
      <w:r w:rsidR="00577311">
        <w:rPr>
          <w:rFonts w:ascii="Tahoma" w:hAnsi="Tahoma" w:hint="cs"/>
          <w:rtl/>
        </w:rPr>
        <w:t>ו</w:t>
      </w:r>
      <w:r>
        <w:rPr>
          <w:rFonts w:ascii="Tahoma" w:hAnsi="Tahoma"/>
          <w:rtl/>
        </w:rPr>
        <w:t xml:space="preserve"> הימנית.</w:t>
      </w:r>
    </w:p>
    <w:p w:rsidR="00DA1B9D" w:rsidRDefault="00DA1B9D" w:rsidP="00DA1B9D">
      <w:pPr>
        <w:pStyle w:val="ab"/>
        <w:numPr>
          <w:ilvl w:val="0"/>
          <w:numId w:val="6"/>
        </w:numPr>
        <w:spacing w:after="120" w:line="360" w:lineRule="auto"/>
        <w:ind w:left="720"/>
        <w:jc w:val="both"/>
        <w:rPr>
          <w:rFonts w:ascii="Tahoma" w:hAnsi="Tahoma"/>
        </w:rPr>
      </w:pPr>
      <w:r>
        <w:rPr>
          <w:rFonts w:ascii="Tahoma" w:hAnsi="Tahoma"/>
          <w:rtl/>
        </w:rPr>
        <w:t>הנאשם הואשם אפוא, באישום זה, בביצוע עבירה של תקיפת שוטר.</w:t>
      </w:r>
    </w:p>
    <w:p w:rsidR="00DA1B9D" w:rsidRDefault="00DA1B9D" w:rsidP="00DA1B9D">
      <w:pPr>
        <w:spacing w:after="120" w:line="360" w:lineRule="auto"/>
        <w:jc w:val="both"/>
        <w:rPr>
          <w:rFonts w:ascii="Tahoma" w:hAnsi="Tahoma"/>
        </w:rPr>
      </w:pPr>
    </w:p>
    <w:p w:rsidR="00DA1B9D" w:rsidRDefault="00DA1B9D" w:rsidP="00DA1B9D">
      <w:pPr>
        <w:pStyle w:val="ab"/>
        <w:numPr>
          <w:ilvl w:val="0"/>
          <w:numId w:val="3"/>
        </w:numPr>
        <w:spacing w:after="120" w:line="360" w:lineRule="auto"/>
        <w:ind w:left="360"/>
        <w:jc w:val="both"/>
        <w:rPr>
          <w:rFonts w:ascii="Tahoma" w:hAnsi="Tahoma"/>
          <w:b/>
          <w:bCs/>
          <w:u w:val="single"/>
          <w:rtl/>
        </w:rPr>
      </w:pPr>
      <w:r>
        <w:rPr>
          <w:rFonts w:ascii="Tahoma" w:hAnsi="Tahoma"/>
          <w:b/>
          <w:bCs/>
          <w:u w:val="single"/>
          <w:rtl/>
        </w:rPr>
        <w:t>השתלשלות ההליכים והסדר הטיעון:</w:t>
      </w:r>
    </w:p>
    <w:p w:rsidR="003E6B2F" w:rsidRPr="003E6B2F" w:rsidRDefault="00DA1B9D" w:rsidP="00032034">
      <w:pPr>
        <w:numPr>
          <w:ilvl w:val="0"/>
          <w:numId w:val="4"/>
        </w:numPr>
        <w:spacing w:after="120" w:line="360" w:lineRule="auto"/>
        <w:ind w:left="360"/>
        <w:jc w:val="both"/>
        <w:rPr>
          <w:rFonts w:ascii="Tahoma" w:hAnsi="Tahoma"/>
        </w:rPr>
      </w:pPr>
      <w:r w:rsidRPr="003E6B2F">
        <w:rPr>
          <w:rFonts w:ascii="Tahoma" w:hAnsi="Tahoma"/>
          <w:rtl/>
        </w:rPr>
        <w:t xml:space="preserve">הדיונים המקדמיים התנהלו לפני כבוד השופט י' גת אך הצדדים לא הגיעו לכלל הסכמות, הנאשם כפר בעובדות כתב האישום (המקורי) והתיק הועבר לשמיעת הראיות לפני מותב אחר. עם זאת, בין לבין הודיעו הצדדים כי הגיעו להסדר טיעון דיוני, אשר הוצג לפני בית המשפט בדיון נוסף (בפרוטוקול, עמ' 9 ואילך. ההסדר נערך גם בכתב וסומן במ/1). בכתב האישום המתוקן, שהוגש במסגרת הסדר הטיעון, נמחקו חלק מהעובדות שנטענו באישום הראשון והשני (באישום השני הושמטה גם הוראת חיקוק </w:t>
      </w:r>
      <w:r w:rsidR="00577311" w:rsidRPr="003E6B2F">
        <w:rPr>
          <w:rFonts w:ascii="Tahoma" w:hAnsi="Tahoma" w:hint="cs"/>
          <w:rtl/>
        </w:rPr>
        <w:t xml:space="preserve">נוספת, </w:t>
      </w:r>
      <w:r w:rsidRPr="003E6B2F">
        <w:rPr>
          <w:rFonts w:ascii="Tahoma" w:hAnsi="Tahoma"/>
          <w:rtl/>
        </w:rPr>
        <w:t>של ה</w:t>
      </w:r>
      <w:r w:rsidR="00C95319" w:rsidRPr="003E6B2F">
        <w:rPr>
          <w:rFonts w:ascii="Tahoma" w:hAnsi="Tahoma"/>
          <w:rtl/>
        </w:rPr>
        <w:t>פרעה לשוטר בשעת מילוי תפקידו)</w:t>
      </w:r>
      <w:r w:rsidR="00C95319" w:rsidRPr="003E6B2F">
        <w:rPr>
          <w:rFonts w:ascii="Tahoma" w:hAnsi="Tahoma" w:hint="cs"/>
          <w:rtl/>
        </w:rPr>
        <w:t xml:space="preserve">. כמו </w:t>
      </w:r>
      <w:r w:rsidRPr="003E6B2F">
        <w:rPr>
          <w:rFonts w:ascii="Tahoma" w:hAnsi="Tahoma"/>
          <w:rtl/>
        </w:rPr>
        <w:t xml:space="preserve">כן נמחק אישום נוסף, שלישי, בו הואשם הנאשם בהפרת הוראה חוקית בכך ששהה בדירת מעסיקו ולא במקום </w:t>
      </w:r>
      <w:r w:rsidR="00C95319" w:rsidRPr="003E6B2F">
        <w:rPr>
          <w:rFonts w:ascii="Tahoma" w:hAnsi="Tahoma" w:hint="cs"/>
          <w:rtl/>
        </w:rPr>
        <w:t>ש</w:t>
      </w:r>
      <w:r w:rsidR="003E6B2F" w:rsidRPr="003E6B2F">
        <w:rPr>
          <w:rFonts w:ascii="Tahoma" w:hAnsi="Tahoma"/>
          <w:rtl/>
        </w:rPr>
        <w:t>עליו הורה בית המשפט.</w:t>
      </w:r>
      <w:r w:rsidR="003E6B2F">
        <w:rPr>
          <w:rFonts w:ascii="Tahoma" w:hAnsi="Tahoma" w:hint="cs"/>
          <w:rtl/>
        </w:rPr>
        <w:t xml:space="preserve"> </w:t>
      </w:r>
      <w:r w:rsidR="003E6B2F" w:rsidRPr="003E6B2F">
        <w:rPr>
          <w:rFonts w:ascii="Tahoma" w:hAnsi="Tahoma" w:hint="cs"/>
          <w:rtl/>
        </w:rPr>
        <w:t>הסדר הטיעון היה כאמור דיוני בלבד, ללא הסכמות לעניין הטיעונים לעונש.</w:t>
      </w:r>
    </w:p>
    <w:p w:rsidR="00DA1B9D" w:rsidRDefault="00DA1B9D" w:rsidP="00DA1B9D">
      <w:pPr>
        <w:numPr>
          <w:ilvl w:val="0"/>
          <w:numId w:val="4"/>
        </w:numPr>
        <w:spacing w:after="120" w:line="360" w:lineRule="auto"/>
        <w:ind w:left="360"/>
        <w:jc w:val="both"/>
        <w:rPr>
          <w:rFonts w:ascii="Tahoma" w:hAnsi="Tahoma"/>
        </w:rPr>
      </w:pPr>
      <w:r>
        <w:rPr>
          <w:rFonts w:ascii="Tahoma" w:hAnsi="Tahoma"/>
          <w:rtl/>
        </w:rPr>
        <w:lastRenderedPageBreak/>
        <w:t>הנאשם הודה אפוא בעובדות כתב האישום המתוקן והורשע, על יסוד הודאה זו, בעבירות בהן הואשם כאמור בפסקה 1 דלעיל. בהמשך להסכמות הצדדים הורה בית המשפט על עריכת תסקיר שירות המבחן והערכת מסוכנות מינית וקבע דיון לשמיעת הטיעונים לעונש (בפרוטוקול, עמ' 11).</w:t>
      </w:r>
    </w:p>
    <w:p w:rsidR="00C95319" w:rsidRDefault="00DA1B9D" w:rsidP="003E6B2F">
      <w:pPr>
        <w:numPr>
          <w:ilvl w:val="0"/>
          <w:numId w:val="4"/>
        </w:numPr>
        <w:spacing w:after="120" w:line="360" w:lineRule="auto"/>
        <w:ind w:left="360"/>
        <w:jc w:val="both"/>
        <w:rPr>
          <w:rFonts w:ascii="Tahoma" w:hAnsi="Tahoma"/>
        </w:rPr>
      </w:pPr>
      <w:r>
        <w:rPr>
          <w:rFonts w:ascii="Tahoma" w:hAnsi="Tahoma"/>
          <w:rtl/>
        </w:rPr>
        <w:t xml:space="preserve">יוער כי </w:t>
      </w:r>
      <w:r w:rsidR="003E6B2F">
        <w:rPr>
          <w:rFonts w:ascii="Tahoma" w:hAnsi="Tahoma" w:hint="cs"/>
          <w:rtl/>
        </w:rPr>
        <w:t xml:space="preserve">בפועל </w:t>
      </w:r>
      <w:r>
        <w:rPr>
          <w:rFonts w:ascii="Tahoma" w:hAnsi="Tahoma"/>
          <w:rtl/>
        </w:rPr>
        <w:t xml:space="preserve">לא נערכה </w:t>
      </w:r>
      <w:r w:rsidR="00C95319">
        <w:rPr>
          <w:rFonts w:ascii="Tahoma" w:hAnsi="Tahoma" w:hint="cs"/>
          <w:rtl/>
        </w:rPr>
        <w:t xml:space="preserve">לנאשם </w:t>
      </w:r>
      <w:r>
        <w:rPr>
          <w:rFonts w:ascii="Tahoma" w:hAnsi="Tahoma"/>
          <w:rtl/>
        </w:rPr>
        <w:t xml:space="preserve">הערכת המסוכנות המינית, </w:t>
      </w:r>
      <w:r w:rsidR="003E6B2F">
        <w:rPr>
          <w:rFonts w:ascii="Tahoma" w:hAnsi="Tahoma" w:hint="cs"/>
          <w:rtl/>
        </w:rPr>
        <w:t xml:space="preserve">וזאת </w:t>
      </w:r>
      <w:r>
        <w:rPr>
          <w:rFonts w:ascii="Tahoma" w:hAnsi="Tahoma"/>
          <w:rtl/>
        </w:rPr>
        <w:t xml:space="preserve">בשל קשיים בזימון הנאשם (ר' התייחסות המרכז </w:t>
      </w:r>
      <w:r w:rsidR="00C95319">
        <w:rPr>
          <w:rFonts w:ascii="Tahoma" w:hAnsi="Tahoma"/>
          <w:rtl/>
        </w:rPr>
        <w:t>להערכת מסוכנות מיום 28.09.2023)</w:t>
      </w:r>
      <w:r w:rsidR="003E6B2F">
        <w:rPr>
          <w:rFonts w:ascii="Tahoma" w:hAnsi="Tahoma" w:hint="cs"/>
          <w:rtl/>
        </w:rPr>
        <w:t xml:space="preserve">. עם זאת </w:t>
      </w:r>
      <w:r>
        <w:rPr>
          <w:rFonts w:ascii="Tahoma" w:hAnsi="Tahoma"/>
          <w:rtl/>
        </w:rPr>
        <w:t>יש לציין</w:t>
      </w:r>
      <w:r w:rsidR="003E6B2F">
        <w:rPr>
          <w:rFonts w:ascii="Tahoma" w:hAnsi="Tahoma" w:hint="cs"/>
          <w:rtl/>
        </w:rPr>
        <w:t xml:space="preserve">, כי </w:t>
      </w:r>
      <w:r>
        <w:rPr>
          <w:rFonts w:ascii="Tahoma" w:hAnsi="Tahoma"/>
          <w:rtl/>
        </w:rPr>
        <w:t xml:space="preserve">בהטלת עונש של מאסר בפועל – להבדיל מענישה מתונה יותר – אין חיוב בדין </w:t>
      </w:r>
      <w:r w:rsidR="003E6B2F">
        <w:rPr>
          <w:rFonts w:ascii="Tahoma" w:hAnsi="Tahoma" w:hint="cs"/>
          <w:rtl/>
        </w:rPr>
        <w:t xml:space="preserve">להכנת הערכת מסוכנות מינית </w:t>
      </w:r>
      <w:r>
        <w:rPr>
          <w:rFonts w:ascii="Tahoma" w:hAnsi="Tahoma"/>
          <w:rtl/>
        </w:rPr>
        <w:t>(ר' בהוראות סעיף 6(א)(1)(א) לחוק הגנה על הציבור מפני ביצו</w:t>
      </w:r>
      <w:r w:rsidR="00C95319">
        <w:rPr>
          <w:rFonts w:ascii="Tahoma" w:hAnsi="Tahoma"/>
          <w:rtl/>
        </w:rPr>
        <w:t>ע עבירות מין, תשס"ו-2006).</w:t>
      </w:r>
    </w:p>
    <w:p w:rsidR="00DA1B9D" w:rsidRDefault="00DA1B9D" w:rsidP="00C95319">
      <w:pPr>
        <w:numPr>
          <w:ilvl w:val="0"/>
          <w:numId w:val="4"/>
        </w:numPr>
        <w:spacing w:after="120" w:line="360" w:lineRule="auto"/>
        <w:ind w:left="360"/>
        <w:jc w:val="both"/>
        <w:rPr>
          <w:rFonts w:ascii="Tahoma" w:hAnsi="Tahoma"/>
        </w:rPr>
      </w:pPr>
      <w:r>
        <w:rPr>
          <w:rFonts w:ascii="Tahoma" w:hAnsi="Tahoma"/>
          <w:rtl/>
        </w:rPr>
        <w:t xml:space="preserve">מכל מקום, נוכח מעצרו של הנאשם עד לתום ההליכים המשפטיים נגדו – בנסיבות שעוד </w:t>
      </w:r>
      <w:r w:rsidR="00C95319">
        <w:rPr>
          <w:rFonts w:ascii="Tahoma" w:hAnsi="Tahoma" w:hint="cs"/>
          <w:rtl/>
        </w:rPr>
        <w:t xml:space="preserve">תפורטנה </w:t>
      </w:r>
      <w:r>
        <w:rPr>
          <w:rFonts w:ascii="Tahoma" w:hAnsi="Tahoma"/>
          <w:rtl/>
        </w:rPr>
        <w:t>בהמשך – עתרה ההגנה להקדמת הדיון ולקיום דיון דחוף עוד בטרם הכנת תסקיר שירות המבחן. בנסיבות אלה העביר כבוד השופט גת את הבקשה לסגנית הנשיא – נוכח שהותו בשבתון (ר' החלטתו מיום 12.11.2023) – ו</w:t>
      </w:r>
      <w:r w:rsidR="00C95319">
        <w:rPr>
          <w:rFonts w:ascii="Tahoma" w:hAnsi="Tahoma" w:hint="cs"/>
          <w:rtl/>
        </w:rPr>
        <w:t xml:space="preserve">בהמשך הועבר </w:t>
      </w:r>
      <w:r>
        <w:rPr>
          <w:rFonts w:ascii="Tahoma" w:hAnsi="Tahoma"/>
          <w:rtl/>
        </w:rPr>
        <w:t>הדיון לפניי.</w:t>
      </w:r>
    </w:p>
    <w:p w:rsidR="00DA1B9D" w:rsidRPr="00C95319" w:rsidRDefault="00DA1B9D" w:rsidP="00DA1B9D">
      <w:pPr>
        <w:spacing w:after="120" w:line="360" w:lineRule="auto"/>
        <w:jc w:val="both"/>
        <w:rPr>
          <w:rFonts w:ascii="Tahoma" w:hAnsi="Tahoma"/>
        </w:rPr>
      </w:pPr>
    </w:p>
    <w:p w:rsidR="00DA1B9D" w:rsidRDefault="00DA1B9D" w:rsidP="00DA1B9D">
      <w:pPr>
        <w:pStyle w:val="ab"/>
        <w:numPr>
          <w:ilvl w:val="0"/>
          <w:numId w:val="3"/>
        </w:numPr>
        <w:spacing w:after="120" w:line="360" w:lineRule="auto"/>
        <w:ind w:left="360"/>
        <w:jc w:val="both"/>
        <w:rPr>
          <w:rFonts w:ascii="Tahoma" w:hAnsi="Tahoma"/>
          <w:b/>
          <w:bCs/>
          <w:u w:val="single"/>
          <w:rtl/>
        </w:rPr>
      </w:pPr>
      <w:r>
        <w:rPr>
          <w:rFonts w:ascii="Tahoma" w:hAnsi="Tahoma"/>
          <w:b/>
          <w:bCs/>
          <w:u w:val="single"/>
          <w:rtl/>
        </w:rPr>
        <w:t>עיקר הראיות לקביעת העונש:</w:t>
      </w:r>
    </w:p>
    <w:p w:rsidR="00DA1B9D" w:rsidRDefault="00DA1B9D" w:rsidP="00DA1B9D">
      <w:pPr>
        <w:numPr>
          <w:ilvl w:val="0"/>
          <w:numId w:val="4"/>
        </w:numPr>
        <w:spacing w:after="120" w:line="360" w:lineRule="auto"/>
        <w:ind w:left="360"/>
        <w:jc w:val="both"/>
        <w:rPr>
          <w:rFonts w:ascii="Tahoma" w:hAnsi="Tahoma"/>
        </w:rPr>
      </w:pPr>
      <w:r>
        <w:rPr>
          <w:rFonts w:ascii="Tahoma" w:hAnsi="Tahoma"/>
          <w:rtl/>
        </w:rPr>
        <w:t>מטעם המאשימה הוגשה הצהרת המתלוננת, נפגעת העבירה (סומנה ע/1), שנערכה לפי הוראות סעיף 18 לחוק זכויות נפגעי עבירה, תשס"א-2001 (להלן – חוק זכויות נפגעי עבירה). ב"כ המאשימה הב</w:t>
      </w:r>
      <w:r w:rsidR="00C95319">
        <w:rPr>
          <w:rFonts w:ascii="Tahoma" w:hAnsi="Tahoma"/>
          <w:rtl/>
        </w:rPr>
        <w:t>הירה</w:t>
      </w:r>
      <w:r>
        <w:rPr>
          <w:rFonts w:ascii="Tahoma" w:hAnsi="Tahoma"/>
          <w:rtl/>
        </w:rPr>
        <w:t xml:space="preserve"> כי ב"כ הנאשם ביקש לחקור את המתלוננת, תוך שטען כי יחקור אותה ממושכות, ועל כן המתלוננת אמרה שאינה מוכנה להתייצב </w:t>
      </w:r>
      <w:r w:rsidR="00C95319">
        <w:rPr>
          <w:rFonts w:ascii="Tahoma" w:hAnsi="Tahoma" w:hint="cs"/>
          <w:rtl/>
        </w:rPr>
        <w:t xml:space="preserve">בבית המשפט </w:t>
      </w:r>
      <w:r>
        <w:rPr>
          <w:rFonts w:ascii="Tahoma" w:hAnsi="Tahoma"/>
          <w:rtl/>
        </w:rPr>
        <w:t>(בפרוטוקול, עמ' 11 שורה 12 ואילך). בנסיבות אלה עתרה ב"כ המאשימה להגשת ההצהרה, תוך שב"כ הנאשם התנגד לכך.</w:t>
      </w:r>
    </w:p>
    <w:p w:rsidR="00DA1B9D" w:rsidRDefault="00DA1B9D" w:rsidP="00DA1B9D">
      <w:pPr>
        <w:numPr>
          <w:ilvl w:val="0"/>
          <w:numId w:val="4"/>
        </w:numPr>
        <w:spacing w:after="120" w:line="360" w:lineRule="auto"/>
        <w:ind w:left="360"/>
        <w:jc w:val="both"/>
        <w:rPr>
          <w:rFonts w:ascii="Tahoma" w:hAnsi="Tahoma"/>
        </w:rPr>
      </w:pPr>
      <w:r>
        <w:rPr>
          <w:rFonts w:ascii="Tahoma" w:hAnsi="Tahoma"/>
          <w:rtl/>
        </w:rPr>
        <w:t>אין בידי לקבל את התנגדות ההגנה לעצם קבילות הצהרת נפגעת העבירה. בעניין זה מורה סעיף 18 לחוק זכויות נפגעי עבירה כלהלן:</w:t>
      </w:r>
    </w:p>
    <w:p w:rsidR="00DA1B9D" w:rsidRDefault="00DA1B9D" w:rsidP="00DA1B9D">
      <w:pPr>
        <w:spacing w:after="120" w:line="360" w:lineRule="auto"/>
        <w:ind w:left="720"/>
        <w:jc w:val="both"/>
        <w:rPr>
          <w:rFonts w:ascii="Tahoma" w:hAnsi="Tahoma"/>
          <w:b/>
          <w:bCs/>
        </w:rPr>
      </w:pPr>
      <w:r>
        <w:rPr>
          <w:rFonts w:ascii="Tahoma" w:hAnsi="Tahoma"/>
          <w:b/>
          <w:bCs/>
          <w:rtl/>
        </w:rPr>
        <w:t>18.</w:t>
      </w:r>
      <w:r>
        <w:rPr>
          <w:rFonts w:ascii="Tahoma" w:hAnsi="Tahoma"/>
          <w:b/>
          <w:bCs/>
          <w:rtl/>
        </w:rPr>
        <w:tab/>
        <w:t>הצהרת נפגע.</w:t>
      </w:r>
    </w:p>
    <w:p w:rsidR="00DA1B9D" w:rsidRDefault="00DA1B9D" w:rsidP="00DA1B9D">
      <w:pPr>
        <w:spacing w:after="120" w:line="360" w:lineRule="auto"/>
        <w:ind w:left="1440" w:hanging="720"/>
        <w:jc w:val="both"/>
        <w:rPr>
          <w:rFonts w:ascii="Tahoma" w:hAnsi="Tahoma"/>
          <w:b/>
          <w:bCs/>
          <w:rtl/>
        </w:rPr>
      </w:pPr>
      <w:r>
        <w:rPr>
          <w:rFonts w:ascii="Tahoma" w:hAnsi="Tahoma"/>
          <w:b/>
          <w:bCs/>
          <w:rtl/>
        </w:rPr>
        <w:t>(א)</w:t>
      </w:r>
      <w:r>
        <w:rPr>
          <w:rFonts w:ascii="Tahoma" w:hAnsi="Tahoma"/>
          <w:b/>
          <w:bCs/>
          <w:rtl/>
        </w:rPr>
        <w:tab/>
        <w:t xml:space="preserve">נפגע עבירה </w:t>
      </w:r>
      <w:r>
        <w:rPr>
          <w:rFonts w:ascii="Tahoma" w:hAnsi="Tahoma"/>
          <w:b/>
          <w:bCs/>
          <w:u w:val="single"/>
          <w:rtl/>
        </w:rPr>
        <w:t>זכאי</w:t>
      </w:r>
      <w:r>
        <w:rPr>
          <w:rFonts w:ascii="Tahoma" w:hAnsi="Tahoma"/>
          <w:b/>
          <w:bCs/>
          <w:rtl/>
        </w:rPr>
        <w:t xml:space="preserve"> למסור הצהרה בכתב לגוף החוקר או לתובע, על כל פגיעה ונזק שנגרמו לו בשל העבירה, לרבות נזק גוף, נזק נפשי או נזק לרכוש; מסר הנפגע הצהרה כאמור, </w:t>
      </w:r>
      <w:r>
        <w:rPr>
          <w:rFonts w:ascii="Tahoma" w:hAnsi="Tahoma"/>
          <w:b/>
          <w:bCs/>
          <w:u w:val="single"/>
          <w:rtl/>
        </w:rPr>
        <w:t>זכאי</w:t>
      </w:r>
      <w:r>
        <w:rPr>
          <w:rFonts w:ascii="Tahoma" w:hAnsi="Tahoma"/>
          <w:b/>
          <w:bCs/>
          <w:rtl/>
        </w:rPr>
        <w:t xml:space="preserve"> הוא שהתובע יביא את הצהרתו לפני בית המשפט בדיון בעניין גזר דינו של הנאשם...</w:t>
      </w:r>
      <w:r>
        <w:rPr>
          <w:rFonts w:ascii="Tahoma" w:hAnsi="Tahoma"/>
          <w:rtl/>
        </w:rPr>
        <w:t xml:space="preserve"> (ההדגשות הוספו – ש.א.).</w:t>
      </w:r>
    </w:p>
    <w:p w:rsidR="00DA1B9D" w:rsidRDefault="00DA1B9D" w:rsidP="00DA1B9D">
      <w:pPr>
        <w:numPr>
          <w:ilvl w:val="0"/>
          <w:numId w:val="4"/>
        </w:numPr>
        <w:spacing w:after="120" w:line="360" w:lineRule="auto"/>
        <w:ind w:left="360"/>
        <w:jc w:val="both"/>
        <w:rPr>
          <w:rFonts w:ascii="Tahoma" w:hAnsi="Tahoma"/>
          <w:rtl/>
        </w:rPr>
      </w:pPr>
      <w:r>
        <w:rPr>
          <w:rFonts w:ascii="Tahoma" w:hAnsi="Tahoma"/>
          <w:rtl/>
        </w:rPr>
        <w:t xml:space="preserve">הנה כי כן, הוראות חוק זכויות נפגעי עבירה קובעות זכות מפורשת של נפגע עבירה לא רק למסור הצהרה על כל פגיעה ונזק שנגרמו לו בשל העבירה, אלא גם זכות מפורשת לכך שהתובע יביא את ההצהרה </w:t>
      </w:r>
      <w:r w:rsidR="00C95319">
        <w:rPr>
          <w:rFonts w:ascii="Tahoma" w:hAnsi="Tahoma" w:hint="cs"/>
          <w:rtl/>
        </w:rPr>
        <w:t xml:space="preserve">אותה ימסור כאמור </w:t>
      </w:r>
      <w:r>
        <w:rPr>
          <w:rFonts w:ascii="Tahoma" w:hAnsi="Tahoma"/>
          <w:rtl/>
        </w:rPr>
        <w:t>לפני בית המשפט. קבילות הצהרת נפגע העבירה בבית המשפט נובעת אפוא ישירות מהוראות החוק האמור וממילא יש לדחות את עתירת ההגנה שלא לקבלה.</w:t>
      </w:r>
    </w:p>
    <w:p w:rsidR="00DA1B9D" w:rsidRPr="003E6B2F" w:rsidRDefault="00DA1B9D" w:rsidP="00BF7EA9">
      <w:pPr>
        <w:numPr>
          <w:ilvl w:val="0"/>
          <w:numId w:val="4"/>
        </w:numPr>
        <w:spacing w:after="120" w:line="360" w:lineRule="auto"/>
        <w:ind w:left="360"/>
        <w:jc w:val="both"/>
        <w:rPr>
          <w:rFonts w:ascii="Tahoma" w:hAnsi="Tahoma"/>
        </w:rPr>
      </w:pPr>
      <w:r w:rsidRPr="003E6B2F">
        <w:rPr>
          <w:rFonts w:ascii="Tahoma" w:hAnsi="Tahoma"/>
          <w:rtl/>
        </w:rPr>
        <w:lastRenderedPageBreak/>
        <w:t>עם זאת, אך מובן הוא כי בהתאם למקובל בשיטתנו האדברסרית יש לאפשר להגנה חקירה שכנגד</w:t>
      </w:r>
      <w:r w:rsidR="00C95319" w:rsidRPr="003E6B2F">
        <w:rPr>
          <w:rFonts w:ascii="Tahoma" w:hAnsi="Tahoma" w:hint="cs"/>
          <w:rtl/>
        </w:rPr>
        <w:t>,</w:t>
      </w:r>
      <w:r w:rsidRPr="003E6B2F">
        <w:rPr>
          <w:rFonts w:ascii="Tahoma" w:hAnsi="Tahoma"/>
          <w:rtl/>
        </w:rPr>
        <w:t xml:space="preserve"> ככל שנפגע העבירה מסכים לכך</w:t>
      </w:r>
      <w:r w:rsidR="00C95319" w:rsidRPr="003E6B2F">
        <w:rPr>
          <w:rFonts w:ascii="Tahoma" w:hAnsi="Tahoma" w:hint="cs"/>
          <w:rtl/>
        </w:rPr>
        <w:t>. יתר על כן</w:t>
      </w:r>
      <w:r w:rsidR="00C95319" w:rsidRPr="003E6B2F">
        <w:rPr>
          <w:rFonts w:ascii="Tahoma" w:hAnsi="Tahoma"/>
          <w:rtl/>
        </w:rPr>
        <w:t xml:space="preserve">, </w:t>
      </w:r>
      <w:r w:rsidRPr="003E6B2F">
        <w:rPr>
          <w:rFonts w:ascii="Tahoma" w:hAnsi="Tahoma"/>
          <w:rtl/>
        </w:rPr>
        <w:t xml:space="preserve">העדר חקירה שכנגד </w:t>
      </w:r>
      <w:r w:rsidR="009E784A" w:rsidRPr="003E6B2F">
        <w:rPr>
          <w:rFonts w:ascii="Tahoma" w:hAnsi="Tahoma" w:hint="cs"/>
          <w:rtl/>
        </w:rPr>
        <w:t xml:space="preserve">בשל סירוב נפגע העבירה להתייצב בבית המשפט עשוי </w:t>
      </w:r>
      <w:r w:rsidRPr="003E6B2F">
        <w:rPr>
          <w:rFonts w:ascii="Tahoma" w:hAnsi="Tahoma"/>
          <w:rtl/>
        </w:rPr>
        <w:t>לפגוע במשקלן של ה</w:t>
      </w:r>
      <w:r w:rsidR="009E784A" w:rsidRPr="003E6B2F">
        <w:rPr>
          <w:rFonts w:ascii="Tahoma" w:hAnsi="Tahoma"/>
          <w:rtl/>
        </w:rPr>
        <w:t>טענות הנכללות בהצהרת</w:t>
      </w:r>
      <w:r w:rsidR="009E784A" w:rsidRPr="003E6B2F">
        <w:rPr>
          <w:rFonts w:ascii="Tahoma" w:hAnsi="Tahoma" w:hint="cs"/>
          <w:rtl/>
        </w:rPr>
        <w:t>ו</w:t>
      </w:r>
      <w:r w:rsidRPr="003E6B2F">
        <w:rPr>
          <w:rFonts w:ascii="Tahoma" w:hAnsi="Tahoma"/>
          <w:rtl/>
        </w:rPr>
        <w:t xml:space="preserve">, בפרט כאשר </w:t>
      </w:r>
      <w:r w:rsidR="009E784A" w:rsidRPr="003E6B2F">
        <w:rPr>
          <w:rFonts w:ascii="Tahoma" w:hAnsi="Tahoma" w:hint="cs"/>
          <w:rtl/>
        </w:rPr>
        <w:t xml:space="preserve">נטענים </w:t>
      </w:r>
      <w:r w:rsidRPr="003E6B2F">
        <w:rPr>
          <w:rFonts w:ascii="Tahoma" w:hAnsi="Tahoma"/>
          <w:rtl/>
        </w:rPr>
        <w:t xml:space="preserve">בהצהרה נתונים אובייקטיביים </w:t>
      </w:r>
      <w:r w:rsidR="003E6B2F" w:rsidRPr="003E6B2F">
        <w:rPr>
          <w:rFonts w:ascii="Tahoma" w:hAnsi="Tahoma"/>
          <w:rtl/>
        </w:rPr>
        <w:t>–</w:t>
      </w:r>
      <w:r w:rsidR="003E6B2F" w:rsidRPr="003E6B2F">
        <w:rPr>
          <w:rFonts w:ascii="Tahoma" w:hAnsi="Tahoma" w:hint="cs"/>
          <w:rtl/>
        </w:rPr>
        <w:t xml:space="preserve"> </w:t>
      </w:r>
      <w:r w:rsidRPr="003E6B2F">
        <w:rPr>
          <w:rFonts w:ascii="Tahoma" w:hAnsi="Tahoma"/>
          <w:rtl/>
        </w:rPr>
        <w:t>להבדיל מ</w:t>
      </w:r>
      <w:r w:rsidR="009E784A" w:rsidRPr="003E6B2F">
        <w:rPr>
          <w:rFonts w:ascii="Tahoma" w:hAnsi="Tahoma" w:hint="cs"/>
          <w:rtl/>
        </w:rPr>
        <w:t xml:space="preserve">טענות אודות </w:t>
      </w:r>
      <w:r w:rsidRPr="003E6B2F">
        <w:rPr>
          <w:rFonts w:ascii="Tahoma" w:hAnsi="Tahoma"/>
          <w:rtl/>
        </w:rPr>
        <w:t xml:space="preserve">תחושות סובייקטיביות (ר' </w:t>
      </w:r>
      <w:r w:rsidR="003E6B2F">
        <w:rPr>
          <w:rFonts w:ascii="Tahoma" w:hAnsi="Tahoma" w:hint="cs"/>
          <w:rtl/>
        </w:rPr>
        <w:t xml:space="preserve">בהקשר זה </w:t>
      </w:r>
      <w:r w:rsidRPr="003E6B2F">
        <w:rPr>
          <w:rFonts w:ascii="Tahoma" w:hAnsi="Tahoma"/>
          <w:rtl/>
        </w:rPr>
        <w:t>ע"פ 2906/19 </w:t>
      </w:r>
      <w:r w:rsidRPr="003E6B2F">
        <w:rPr>
          <w:rFonts w:ascii="Tahoma" w:hAnsi="Tahoma"/>
          <w:b/>
          <w:bCs/>
          <w:rtl/>
        </w:rPr>
        <w:t>פלוני נ' מדינת ישראל</w:t>
      </w:r>
      <w:r w:rsidRPr="003E6B2F">
        <w:rPr>
          <w:rFonts w:ascii="Tahoma" w:hAnsi="Tahoma"/>
          <w:rtl/>
        </w:rPr>
        <w:t> (14.07.2019), בפסקה 15 ואילך לפסק הדין).</w:t>
      </w:r>
    </w:p>
    <w:p w:rsidR="00DA1B9D" w:rsidRDefault="00DA1B9D" w:rsidP="009E784A">
      <w:pPr>
        <w:numPr>
          <w:ilvl w:val="0"/>
          <w:numId w:val="4"/>
        </w:numPr>
        <w:spacing w:after="120" w:line="360" w:lineRule="auto"/>
        <w:ind w:left="360"/>
        <w:jc w:val="both"/>
        <w:rPr>
          <w:rFonts w:ascii="Tahoma" w:hAnsi="Tahoma"/>
          <w:rtl/>
        </w:rPr>
      </w:pPr>
      <w:r>
        <w:rPr>
          <w:rFonts w:ascii="Tahoma" w:hAnsi="Tahoma"/>
          <w:rtl/>
        </w:rPr>
        <w:t>במקרה דנא, בהצהרת המתלוננת (ע/1) נטען כי מאז האירוע מושא האישום הראשון אבדה לה תחושת הביטחון</w:t>
      </w:r>
      <w:r w:rsidR="009E784A">
        <w:rPr>
          <w:rFonts w:ascii="Tahoma" w:hAnsi="Tahoma"/>
          <w:rtl/>
        </w:rPr>
        <w:t xml:space="preserve"> בדירתה ולא היה ביכולתה לשהות ב</w:t>
      </w:r>
      <w:r w:rsidR="009E784A">
        <w:rPr>
          <w:rFonts w:ascii="Tahoma" w:hAnsi="Tahoma" w:hint="cs"/>
          <w:rtl/>
        </w:rPr>
        <w:t>ה</w:t>
      </w:r>
      <w:r>
        <w:rPr>
          <w:rFonts w:ascii="Tahoma" w:hAnsi="Tahoma"/>
          <w:rtl/>
        </w:rPr>
        <w:t xml:space="preserve"> לבד</w:t>
      </w:r>
      <w:r w:rsidR="009E784A">
        <w:rPr>
          <w:rFonts w:ascii="Tahoma" w:hAnsi="Tahoma" w:hint="cs"/>
          <w:rtl/>
        </w:rPr>
        <w:t>ה</w:t>
      </w:r>
      <w:r w:rsidR="009E784A">
        <w:rPr>
          <w:rFonts w:ascii="Tahoma" w:hAnsi="Tahoma"/>
          <w:rtl/>
        </w:rPr>
        <w:t>. כתוצאה מכך נאלצה המתלוננת</w:t>
      </w:r>
      <w:r w:rsidR="009E784A">
        <w:rPr>
          <w:rFonts w:ascii="Tahoma" w:hAnsi="Tahoma" w:hint="cs"/>
          <w:rtl/>
        </w:rPr>
        <w:t xml:space="preserve"> </w:t>
      </w:r>
      <w:r>
        <w:rPr>
          <w:rFonts w:ascii="Tahoma" w:hAnsi="Tahoma"/>
          <w:rtl/>
        </w:rPr>
        <w:t xml:space="preserve">לעזוב את הדירה ולעבור לדירה יקרה יותר ומותאמת פחות לצרכיה, ואיכות החיים שלה ירדה באופן משמעותי. המתלוננת גם העלתה טענות על פגיעה בפרטיות </w:t>
      </w:r>
      <w:r w:rsidR="009E784A">
        <w:rPr>
          <w:rFonts w:ascii="Tahoma" w:hAnsi="Tahoma" w:hint="cs"/>
          <w:rtl/>
        </w:rPr>
        <w:t xml:space="preserve">על ידי </w:t>
      </w:r>
      <w:r>
        <w:rPr>
          <w:rFonts w:ascii="Tahoma" w:hAnsi="Tahoma"/>
          <w:rtl/>
        </w:rPr>
        <w:t xml:space="preserve">אשתו של מעסיק הנאשם, והוסיפה וציינה כי כחודשיים לאחר האירוע לא הצליחה לעבוד, הכנסותיה נפגעו והיא נאלצה </w:t>
      </w:r>
      <w:r w:rsidR="009E784A">
        <w:rPr>
          <w:rFonts w:ascii="Tahoma" w:hAnsi="Tahoma"/>
          <w:rtl/>
        </w:rPr>
        <w:t>להיעזר כלכלית בבני משפחה. עוד ה</w:t>
      </w:r>
      <w:r>
        <w:rPr>
          <w:rFonts w:ascii="Tahoma" w:hAnsi="Tahoma"/>
          <w:rtl/>
        </w:rPr>
        <w:t>ד</w:t>
      </w:r>
      <w:r w:rsidR="009E784A">
        <w:rPr>
          <w:rFonts w:ascii="Tahoma" w:hAnsi="Tahoma" w:hint="cs"/>
          <w:rtl/>
        </w:rPr>
        <w:t>ג</w:t>
      </w:r>
      <w:r>
        <w:rPr>
          <w:rFonts w:ascii="Tahoma" w:hAnsi="Tahoma"/>
          <w:rtl/>
        </w:rPr>
        <w:t xml:space="preserve">ישה המתלוננת כי </w:t>
      </w:r>
      <w:r w:rsidR="009E784A">
        <w:rPr>
          <w:rFonts w:ascii="Tahoma" w:hAnsi="Tahoma" w:hint="cs"/>
          <w:rtl/>
        </w:rPr>
        <w:t xml:space="preserve">לאחר האירוע היא </w:t>
      </w:r>
      <w:r>
        <w:rPr>
          <w:rFonts w:ascii="Tahoma" w:hAnsi="Tahoma"/>
          <w:rtl/>
        </w:rPr>
        <w:t>פ</w:t>
      </w:r>
      <w:r w:rsidR="009E784A">
        <w:rPr>
          <w:rFonts w:ascii="Tahoma" w:hAnsi="Tahoma" w:hint="cs"/>
          <w:rtl/>
        </w:rPr>
        <w:t>י</w:t>
      </w:r>
      <w:r>
        <w:rPr>
          <w:rFonts w:ascii="Tahoma" w:hAnsi="Tahoma"/>
          <w:rtl/>
        </w:rPr>
        <w:t xml:space="preserve">תחה חרדה, שמעולם לא סבלה ממנה בעבר, והיא אף נמנעת מביקור בשכונת מגוריה דאז או מכניסה למעליות שבהן נמצא גבר זר. לדבריה, תחושות החרדה </w:t>
      </w:r>
      <w:r w:rsidR="009E784A">
        <w:rPr>
          <w:rFonts w:ascii="Tahoma" w:hAnsi="Tahoma" w:hint="cs"/>
          <w:rtl/>
        </w:rPr>
        <w:t xml:space="preserve">אף </w:t>
      </w:r>
      <w:r>
        <w:rPr>
          <w:rFonts w:ascii="Tahoma" w:hAnsi="Tahoma"/>
          <w:rtl/>
        </w:rPr>
        <w:t>התעצמו בשל כך שחבריו של הנאשם ניסו לשכנעה</w:t>
      </w:r>
      <w:r w:rsidR="009E784A">
        <w:rPr>
          <w:rFonts w:ascii="Tahoma" w:hAnsi="Tahoma" w:hint="cs"/>
          <w:rtl/>
        </w:rPr>
        <w:t>,</w:t>
      </w:r>
      <w:r>
        <w:rPr>
          <w:rFonts w:ascii="Tahoma" w:hAnsi="Tahoma"/>
          <w:rtl/>
        </w:rPr>
        <w:t xml:space="preserve"> לאחר האירוע</w:t>
      </w:r>
      <w:r w:rsidR="009E784A">
        <w:rPr>
          <w:rFonts w:ascii="Tahoma" w:hAnsi="Tahoma" w:hint="cs"/>
          <w:rtl/>
        </w:rPr>
        <w:t>,</w:t>
      </w:r>
      <w:r>
        <w:rPr>
          <w:rFonts w:ascii="Tahoma" w:hAnsi="Tahoma"/>
          <w:rtl/>
        </w:rPr>
        <w:t xml:space="preserve"> לבטל את תלונתה נגדו.</w:t>
      </w:r>
    </w:p>
    <w:p w:rsidR="00DA1B9D" w:rsidRDefault="00DA1B9D" w:rsidP="009E784A">
      <w:pPr>
        <w:numPr>
          <w:ilvl w:val="0"/>
          <w:numId w:val="4"/>
        </w:numPr>
        <w:spacing w:after="120" w:line="360" w:lineRule="auto"/>
        <w:ind w:left="360"/>
        <w:jc w:val="both"/>
        <w:rPr>
          <w:rFonts w:ascii="Tahoma" w:hAnsi="Tahoma"/>
        </w:rPr>
      </w:pPr>
      <w:r>
        <w:rPr>
          <w:rFonts w:ascii="Tahoma" w:hAnsi="Tahoma"/>
          <w:rtl/>
        </w:rPr>
        <w:t>מטעם ההגנה העידה, כעדת או</w:t>
      </w:r>
      <w:r w:rsidR="009E784A">
        <w:rPr>
          <w:rFonts w:ascii="Tahoma" w:hAnsi="Tahoma"/>
          <w:rtl/>
        </w:rPr>
        <w:t>פי, גב' אגניסקה דרביצקה, אשת</w:t>
      </w:r>
      <w:r w:rsidR="003E6B2F">
        <w:rPr>
          <w:rFonts w:ascii="Tahoma" w:hAnsi="Tahoma"/>
          <w:rtl/>
        </w:rPr>
        <w:t xml:space="preserve"> </w:t>
      </w:r>
      <w:r>
        <w:rPr>
          <w:rFonts w:ascii="Tahoma" w:hAnsi="Tahoma"/>
          <w:rtl/>
        </w:rPr>
        <w:t>מעסיק</w:t>
      </w:r>
      <w:r w:rsidR="003E6B2F">
        <w:rPr>
          <w:rFonts w:ascii="Tahoma" w:hAnsi="Tahoma" w:hint="cs"/>
          <w:rtl/>
        </w:rPr>
        <w:t>ו של הנאשם</w:t>
      </w:r>
      <w:r>
        <w:rPr>
          <w:rFonts w:ascii="Tahoma" w:hAnsi="Tahoma"/>
          <w:rtl/>
        </w:rPr>
        <w:t>. העדה תיארה כי בעלה, שהיה בעל תפקידים בכירים, חלה בטרשת נפוצה והפך למוגבל לחלוטין בתנועותיו</w:t>
      </w:r>
      <w:r w:rsidR="009E784A">
        <w:rPr>
          <w:rFonts w:ascii="Tahoma" w:hAnsi="Tahoma" w:hint="cs"/>
          <w:rtl/>
        </w:rPr>
        <w:t xml:space="preserve"> ועל כן נזקק למטפל סיעודי</w:t>
      </w:r>
      <w:r w:rsidR="009E784A">
        <w:rPr>
          <w:rFonts w:ascii="Tahoma" w:hAnsi="Tahoma"/>
          <w:rtl/>
        </w:rPr>
        <w:t xml:space="preserve">. העדה תיארה </w:t>
      </w:r>
      <w:r w:rsidR="009E784A">
        <w:rPr>
          <w:rFonts w:ascii="Tahoma" w:hAnsi="Tahoma" w:hint="cs"/>
          <w:rtl/>
        </w:rPr>
        <w:t xml:space="preserve">כי </w:t>
      </w:r>
      <w:r>
        <w:rPr>
          <w:rFonts w:ascii="Tahoma" w:hAnsi="Tahoma"/>
          <w:rtl/>
        </w:rPr>
        <w:t>הנאשם טיפל בבעלה במסירות רבה מאוד</w:t>
      </w:r>
      <w:r w:rsidR="003E6B2F">
        <w:rPr>
          <w:rFonts w:ascii="Tahoma" w:hAnsi="Tahoma" w:hint="cs"/>
          <w:rtl/>
        </w:rPr>
        <w:t>, כאשר אף כיום בעלה מתגעגע לנאשם</w:t>
      </w:r>
      <w:r>
        <w:rPr>
          <w:rFonts w:ascii="Tahoma" w:hAnsi="Tahoma"/>
          <w:rtl/>
        </w:rPr>
        <w:t>. לדבריה, להתרשמותה לנאשם יש "</w:t>
      </w:r>
      <w:r>
        <w:rPr>
          <w:rFonts w:ascii="Tahoma" w:hAnsi="Tahoma"/>
          <w:b/>
          <w:bCs/>
          <w:rtl/>
        </w:rPr>
        <w:t>לב טוב</w:t>
      </w:r>
      <w:r>
        <w:rPr>
          <w:rFonts w:ascii="Tahoma" w:hAnsi="Tahoma"/>
          <w:rtl/>
        </w:rPr>
        <w:t>" ו</w:t>
      </w:r>
      <w:r w:rsidR="003E6B2F">
        <w:rPr>
          <w:rFonts w:ascii="Tahoma" w:hAnsi="Tahoma" w:hint="cs"/>
          <w:rtl/>
        </w:rPr>
        <w:t>ה</w:t>
      </w:r>
      <w:r>
        <w:rPr>
          <w:rFonts w:ascii="Tahoma" w:hAnsi="Tahoma"/>
          <w:rtl/>
        </w:rPr>
        <w:t xml:space="preserve">מעשים שעשה אינם </w:t>
      </w:r>
      <w:r w:rsidR="00BA2334">
        <w:rPr>
          <w:rFonts w:ascii="Tahoma" w:hAnsi="Tahoma" w:hint="cs"/>
          <w:rtl/>
        </w:rPr>
        <w:t xml:space="preserve">נובעים </w:t>
      </w:r>
      <w:r>
        <w:rPr>
          <w:rFonts w:ascii="Tahoma" w:hAnsi="Tahoma"/>
          <w:rtl/>
        </w:rPr>
        <w:t>מרוע לב אלא משום היות</w:t>
      </w:r>
      <w:r w:rsidR="009E784A">
        <w:rPr>
          <w:rFonts w:ascii="Tahoma" w:hAnsi="Tahoma" w:hint="cs"/>
          <w:rtl/>
        </w:rPr>
        <w:t xml:space="preserve">ו אדם </w:t>
      </w:r>
      <w:r>
        <w:rPr>
          <w:rFonts w:ascii="Tahoma" w:hAnsi="Tahoma"/>
          <w:rtl/>
        </w:rPr>
        <w:t>"</w:t>
      </w:r>
      <w:r>
        <w:rPr>
          <w:rFonts w:ascii="Tahoma" w:hAnsi="Tahoma"/>
          <w:b/>
          <w:bCs/>
          <w:rtl/>
        </w:rPr>
        <w:t>לא מפותח</w:t>
      </w:r>
      <w:r>
        <w:rPr>
          <w:rFonts w:ascii="Tahoma" w:hAnsi="Tahoma"/>
          <w:rtl/>
        </w:rPr>
        <w:t>", מכיוון שגדל והגיע ממקום מאוד לא מפותח (בפרוטוקול, עמ' 12 שורה 9 ואילך).</w:t>
      </w:r>
    </w:p>
    <w:p w:rsidR="00DA1B9D" w:rsidRDefault="00DA1B9D" w:rsidP="00DA1B9D">
      <w:pPr>
        <w:numPr>
          <w:ilvl w:val="0"/>
          <w:numId w:val="4"/>
        </w:numPr>
        <w:spacing w:after="120" w:line="360" w:lineRule="auto"/>
        <w:ind w:left="360"/>
        <w:jc w:val="both"/>
        <w:rPr>
          <w:rFonts w:ascii="Tahoma" w:hAnsi="Tahoma"/>
        </w:rPr>
      </w:pPr>
      <w:r>
        <w:rPr>
          <w:rFonts w:ascii="Tahoma" w:hAnsi="Tahoma"/>
          <w:rtl/>
        </w:rPr>
        <w:t xml:space="preserve">עוד מסרה העדה כי </w:t>
      </w:r>
      <w:r w:rsidR="009E784A">
        <w:rPr>
          <w:rFonts w:ascii="Tahoma" w:hAnsi="Tahoma" w:hint="cs"/>
          <w:rtl/>
        </w:rPr>
        <w:t xml:space="preserve">היא </w:t>
      </w:r>
      <w:r>
        <w:rPr>
          <w:rFonts w:ascii="Tahoma" w:hAnsi="Tahoma"/>
          <w:rtl/>
        </w:rPr>
        <w:t>ש</w:t>
      </w:r>
      <w:r w:rsidR="009E784A">
        <w:rPr>
          <w:rFonts w:ascii="Tahoma" w:hAnsi="Tahoma" w:hint="cs"/>
          <w:rtl/>
        </w:rPr>
        <w:t>י</w:t>
      </w:r>
      <w:r>
        <w:rPr>
          <w:rFonts w:ascii="Tahoma" w:hAnsi="Tahoma"/>
          <w:rtl/>
        </w:rPr>
        <w:t>משה כערבה ו</w:t>
      </w:r>
      <w:r w:rsidR="009E784A">
        <w:rPr>
          <w:rFonts w:ascii="Tahoma" w:hAnsi="Tahoma" w:hint="cs"/>
          <w:rtl/>
        </w:rPr>
        <w:t>כ</w:t>
      </w:r>
      <w:r>
        <w:rPr>
          <w:rFonts w:ascii="Tahoma" w:hAnsi="Tahoma"/>
          <w:rtl/>
        </w:rPr>
        <w:t>מפקחת של הנאשם, בעת ש</w:t>
      </w:r>
      <w:r w:rsidR="00BA2334">
        <w:rPr>
          <w:rFonts w:ascii="Tahoma" w:hAnsi="Tahoma" w:hint="cs"/>
          <w:rtl/>
        </w:rPr>
        <w:t xml:space="preserve">הלה </w:t>
      </w:r>
      <w:r>
        <w:rPr>
          <w:rFonts w:ascii="Tahoma" w:hAnsi="Tahoma"/>
          <w:rtl/>
        </w:rPr>
        <w:t>שוחרר בערובה ובתנאים ב</w:t>
      </w:r>
      <w:r w:rsidR="00BA2334">
        <w:rPr>
          <w:rFonts w:ascii="Tahoma" w:hAnsi="Tahoma" w:hint="cs"/>
          <w:rtl/>
        </w:rPr>
        <w:t xml:space="preserve">מסגרת </w:t>
      </w:r>
      <w:r>
        <w:rPr>
          <w:rFonts w:ascii="Tahoma" w:hAnsi="Tahoma"/>
          <w:rtl/>
        </w:rPr>
        <w:t>הליכי המעצר. בחקירה הנגדית אישרה העדה כי ביקשה להפסיק את ערבותה האמורה משום ש"</w:t>
      </w:r>
      <w:r>
        <w:rPr>
          <w:rFonts w:ascii="Tahoma" w:hAnsi="Tahoma"/>
          <w:b/>
          <w:bCs/>
          <w:rtl/>
        </w:rPr>
        <w:t>לא יכולתי להשתלט עליו</w:t>
      </w:r>
      <w:r>
        <w:rPr>
          <w:rFonts w:ascii="Tahoma" w:hAnsi="Tahoma"/>
          <w:rtl/>
        </w:rPr>
        <w:t>" (בפרוטוקול, עמ' 12 שורה 14). עוד אישרה העדה כי על אף שאסור היה לנאשם לצאת מהארץ, ואף הוצא נגדו צו עיכוב יציאה מהארץ, הוא הפר את תנאי השחרור ונסע לנתב"ג.</w:t>
      </w:r>
    </w:p>
    <w:p w:rsidR="00DA1B9D" w:rsidRDefault="00DA1B9D" w:rsidP="00DA1B9D">
      <w:pPr>
        <w:spacing w:after="120" w:line="360" w:lineRule="auto"/>
        <w:jc w:val="both"/>
        <w:rPr>
          <w:rFonts w:ascii="Tahoma" w:hAnsi="Tahoma"/>
        </w:rPr>
      </w:pPr>
    </w:p>
    <w:p w:rsidR="00DA1B9D" w:rsidRDefault="00DA1B9D" w:rsidP="00DA1B9D">
      <w:pPr>
        <w:pStyle w:val="ab"/>
        <w:numPr>
          <w:ilvl w:val="0"/>
          <w:numId w:val="3"/>
        </w:numPr>
        <w:spacing w:after="120" w:line="360" w:lineRule="auto"/>
        <w:ind w:left="360"/>
        <w:jc w:val="both"/>
        <w:rPr>
          <w:rFonts w:ascii="Tahoma" w:hAnsi="Tahoma"/>
          <w:b/>
          <w:bCs/>
          <w:u w:val="single"/>
          <w:rtl/>
        </w:rPr>
      </w:pPr>
      <w:r>
        <w:rPr>
          <w:rFonts w:ascii="Tahoma" w:hAnsi="Tahoma"/>
          <w:b/>
          <w:bCs/>
          <w:u w:val="single"/>
          <w:rtl/>
        </w:rPr>
        <w:t>עיקר טיעוני הצדדים:</w:t>
      </w:r>
    </w:p>
    <w:p w:rsidR="00DA1B9D" w:rsidRDefault="00DA1B9D" w:rsidP="00BA2334">
      <w:pPr>
        <w:numPr>
          <w:ilvl w:val="0"/>
          <w:numId w:val="4"/>
        </w:numPr>
        <w:spacing w:after="120" w:line="360" w:lineRule="auto"/>
        <w:ind w:left="360"/>
        <w:jc w:val="both"/>
        <w:rPr>
          <w:rFonts w:ascii="Tahoma" w:hAnsi="Tahoma"/>
        </w:rPr>
      </w:pPr>
      <w:r>
        <w:rPr>
          <w:rFonts w:ascii="Tahoma" w:hAnsi="Tahoma"/>
          <w:rtl/>
        </w:rPr>
        <w:t>בטיעוניה לעונש עמדה ב"כ המאשימה, בהרחבה, על עובדות כתב האישום המתוקן, שבהן הודה הנאשם. אשר לאישום הראשון הטעימה התובעת כי אירוע זה הסתיים אך ורק בשל פתיחת דלת המעלית ותושייתה של המתלוננת</w:t>
      </w:r>
      <w:r w:rsidR="00BA2334">
        <w:rPr>
          <w:rFonts w:ascii="Tahoma" w:hAnsi="Tahoma" w:hint="cs"/>
          <w:rtl/>
        </w:rPr>
        <w:t>,</w:t>
      </w:r>
      <w:r>
        <w:rPr>
          <w:rFonts w:ascii="Tahoma" w:hAnsi="Tahoma"/>
          <w:rtl/>
        </w:rPr>
        <w:t xml:space="preserve"> </w:t>
      </w:r>
      <w:r w:rsidR="00BA2334">
        <w:rPr>
          <w:rFonts w:ascii="Tahoma" w:hAnsi="Tahoma" w:hint="cs"/>
          <w:rtl/>
        </w:rPr>
        <w:t>א</w:t>
      </w:r>
      <w:r>
        <w:rPr>
          <w:rFonts w:ascii="Tahoma" w:hAnsi="Tahoma"/>
          <w:rtl/>
        </w:rPr>
        <w:t>ש</w:t>
      </w:r>
      <w:r w:rsidR="00BA2334">
        <w:rPr>
          <w:rFonts w:ascii="Tahoma" w:hAnsi="Tahoma" w:hint="cs"/>
          <w:rtl/>
        </w:rPr>
        <w:t xml:space="preserve">ר </w:t>
      </w:r>
      <w:r>
        <w:rPr>
          <w:rFonts w:ascii="Tahoma" w:hAnsi="Tahoma"/>
          <w:rtl/>
        </w:rPr>
        <w:t xml:space="preserve">הסתלקה מהמקום (בפרוטוקול, עמ' 13 שורה 9). </w:t>
      </w:r>
      <w:r w:rsidR="00BA2334">
        <w:rPr>
          <w:rFonts w:ascii="Tahoma" w:hAnsi="Tahoma" w:hint="cs"/>
          <w:rtl/>
        </w:rPr>
        <w:t xml:space="preserve">בהקשר </w:t>
      </w:r>
      <w:r>
        <w:rPr>
          <w:rFonts w:ascii="Tahoma" w:hAnsi="Tahoma"/>
          <w:rtl/>
        </w:rPr>
        <w:lastRenderedPageBreak/>
        <w:t>לאישום השני הדגישה התובעת כי מדובר באירוע נפרד</w:t>
      </w:r>
      <w:r w:rsidR="00553D0A">
        <w:rPr>
          <w:rFonts w:ascii="Tahoma" w:hAnsi="Tahoma" w:hint="cs"/>
          <w:rtl/>
        </w:rPr>
        <w:t xml:space="preserve"> לחלוטין</w:t>
      </w:r>
      <w:r>
        <w:rPr>
          <w:rFonts w:ascii="Tahoma" w:hAnsi="Tahoma"/>
          <w:rtl/>
        </w:rPr>
        <w:t>, שהתרחש יומיים לאחר האירוע מושא האישום הראשון.</w:t>
      </w:r>
    </w:p>
    <w:p w:rsidR="00DA1B9D" w:rsidRDefault="00DA1B9D" w:rsidP="00DA1B9D">
      <w:pPr>
        <w:numPr>
          <w:ilvl w:val="0"/>
          <w:numId w:val="4"/>
        </w:numPr>
        <w:spacing w:after="120" w:line="360" w:lineRule="auto"/>
        <w:ind w:left="360"/>
        <w:jc w:val="both"/>
        <w:rPr>
          <w:rFonts w:ascii="Tahoma" w:hAnsi="Tahoma"/>
        </w:rPr>
      </w:pPr>
      <w:r>
        <w:rPr>
          <w:rFonts w:ascii="Tahoma" w:hAnsi="Tahoma"/>
          <w:rtl/>
        </w:rPr>
        <w:t>ב"כ המאשימה עמדה על הערכים החברתיים, שנפגעו כתולדה ממעשיו של הנאשם, והדגישה כי ביצוע העבירה של מעשה מגונה פוגע בתחושת הביטחון האישי, בפרטיות, בכבוד ובאוטונומיה של האדם על גופו. במקרה דנא, המעשה אף בוצע בבניין בו התגוררה המתלוננת, דהיי</w:t>
      </w:r>
      <w:r w:rsidR="00553D0A">
        <w:rPr>
          <w:rFonts w:ascii="Tahoma" w:hAnsi="Tahoma"/>
          <w:rtl/>
        </w:rPr>
        <w:t>נו במקום בו היא אמורה לחוש מוגנ</w:t>
      </w:r>
      <w:r w:rsidR="00553D0A">
        <w:rPr>
          <w:rFonts w:ascii="Tahoma" w:hAnsi="Tahoma" w:hint="cs"/>
          <w:rtl/>
        </w:rPr>
        <w:t>ת</w:t>
      </w:r>
      <w:r>
        <w:rPr>
          <w:rFonts w:ascii="Tahoma" w:hAnsi="Tahoma"/>
          <w:rtl/>
        </w:rPr>
        <w:t xml:space="preserve"> ביותר, תוך שהנאשם המשיך במעשיו על אף התנגדות</w:t>
      </w:r>
      <w:r w:rsidR="00BA2334">
        <w:rPr>
          <w:rFonts w:ascii="Tahoma" w:hAnsi="Tahoma" w:hint="cs"/>
          <w:rtl/>
        </w:rPr>
        <w:t>ה של</w:t>
      </w:r>
      <w:r>
        <w:rPr>
          <w:rFonts w:ascii="Tahoma" w:hAnsi="Tahoma"/>
          <w:rtl/>
        </w:rPr>
        <w:t xml:space="preserve"> המתלוננת. בנסיבות אלה, ביצוע העבירה פגע באופן קשה במתלוננת ואף ממשיך להשפיע עליה גם בהמשך חייה; והכל כפי שעולה מהצהרתה </w:t>
      </w:r>
      <w:r w:rsidR="00553D0A">
        <w:rPr>
          <w:rFonts w:ascii="Tahoma" w:hAnsi="Tahoma" w:hint="cs"/>
          <w:rtl/>
        </w:rPr>
        <w:t xml:space="preserve">המפורטת </w:t>
      </w:r>
      <w:r>
        <w:rPr>
          <w:rFonts w:ascii="Tahoma" w:hAnsi="Tahoma"/>
          <w:rtl/>
        </w:rPr>
        <w:t>(ע/1).</w:t>
      </w:r>
    </w:p>
    <w:p w:rsidR="00553D0A" w:rsidRDefault="00DA1B9D" w:rsidP="00553D0A">
      <w:pPr>
        <w:numPr>
          <w:ilvl w:val="0"/>
          <w:numId w:val="4"/>
        </w:numPr>
        <w:spacing w:after="120" w:line="360" w:lineRule="auto"/>
        <w:ind w:left="360"/>
        <w:jc w:val="both"/>
        <w:rPr>
          <w:rFonts w:ascii="Tahoma" w:hAnsi="Tahoma"/>
        </w:rPr>
      </w:pPr>
      <w:r>
        <w:rPr>
          <w:rFonts w:ascii="Tahoma" w:hAnsi="Tahoma"/>
          <w:rtl/>
        </w:rPr>
        <w:t>לעניין מדיניות הענישה הנהוגה הגישה ב"כ המאשימה מספר אסמכתאות, שביניהן עפ"ג (מחוזי י-ם) 27848-10-14 </w:t>
      </w:r>
      <w:r>
        <w:rPr>
          <w:rFonts w:ascii="Tahoma" w:hAnsi="Tahoma"/>
          <w:b/>
          <w:bCs/>
          <w:rtl/>
        </w:rPr>
        <w:t>דחליקה נ' מדינת ישראל</w:t>
      </w:r>
      <w:r>
        <w:rPr>
          <w:rFonts w:ascii="Tahoma" w:hAnsi="Tahoma"/>
          <w:rtl/>
        </w:rPr>
        <w:t xml:space="preserve"> (16.12.2014). באותו מקרה דובר בנהג מונית אשר הסיע את המתלוננת </w:t>
      </w:r>
      <w:r w:rsidR="00BA2334">
        <w:rPr>
          <w:rFonts w:ascii="Tahoma" w:hAnsi="Tahoma" w:hint="cs"/>
          <w:rtl/>
        </w:rPr>
        <w:t xml:space="preserve">דשם </w:t>
      </w:r>
      <w:r>
        <w:rPr>
          <w:rFonts w:ascii="Tahoma" w:hAnsi="Tahoma"/>
          <w:rtl/>
        </w:rPr>
        <w:t>ובמהלך הנסיעה נגע בירכה החשופה של המתלוננת שש או שבע פעמים</w:t>
      </w:r>
      <w:r w:rsidR="00553D0A">
        <w:rPr>
          <w:rFonts w:ascii="Tahoma" w:hAnsi="Tahoma" w:hint="cs"/>
          <w:rtl/>
        </w:rPr>
        <w:t>,</w:t>
      </w:r>
      <w:r>
        <w:rPr>
          <w:rFonts w:ascii="Tahoma" w:hAnsi="Tahoma"/>
          <w:rtl/>
        </w:rPr>
        <w:t xml:space="preserve"> על אף התנגדותה, כאשר במקביל נגע באיבר מינו. נקבע מתחם עונש הולם שבין חמישה חודשי מאסר, לנשיאה בדרך של עבודות שירות, לבין 15 חודשי מאסר בפועל. על הנאשם נגזר עונש מאסר בפועל בן 6 חודשים, מאסר מותנה ופיצויים בסך של 4,000 ₪ למתלוננת. מתחם עונש דומה נקבע, במקרה דומה, בת"פ (שלום י-ם) 42052-07-14 </w:t>
      </w:r>
      <w:r>
        <w:rPr>
          <w:rFonts w:ascii="Tahoma" w:hAnsi="Tahoma"/>
          <w:b/>
          <w:bCs/>
          <w:rtl/>
        </w:rPr>
        <w:t>מדינת ישראל נ' בראנץ</w:t>
      </w:r>
      <w:r w:rsidR="00553D0A">
        <w:rPr>
          <w:rFonts w:ascii="Tahoma" w:hAnsi="Tahoma"/>
          <w:rtl/>
        </w:rPr>
        <w:t xml:space="preserve"> (13.01.2016).</w:t>
      </w:r>
    </w:p>
    <w:p w:rsidR="00DA1B9D" w:rsidRDefault="00DA1B9D" w:rsidP="00553D0A">
      <w:pPr>
        <w:numPr>
          <w:ilvl w:val="0"/>
          <w:numId w:val="4"/>
        </w:numPr>
        <w:spacing w:after="120" w:line="360" w:lineRule="auto"/>
        <w:ind w:left="360"/>
        <w:jc w:val="both"/>
        <w:rPr>
          <w:rFonts w:ascii="Tahoma" w:hAnsi="Tahoma"/>
        </w:rPr>
      </w:pPr>
      <w:r>
        <w:rPr>
          <w:rFonts w:ascii="Tahoma" w:hAnsi="Tahoma"/>
          <w:rtl/>
        </w:rPr>
        <w:t xml:space="preserve">עוד הפנתה התובעת לת"פ (שלום ת"א) 40946-02-17 </w:t>
      </w:r>
      <w:r>
        <w:rPr>
          <w:rFonts w:ascii="Tahoma" w:hAnsi="Tahoma"/>
          <w:b/>
          <w:bCs/>
          <w:rtl/>
        </w:rPr>
        <w:t>מדינת ישראל נ' אוחנה</w:t>
      </w:r>
      <w:r>
        <w:rPr>
          <w:rFonts w:ascii="Tahoma" w:hAnsi="Tahoma"/>
          <w:rtl/>
        </w:rPr>
        <w:t xml:space="preserve"> (23.06.2021), שם דובר בנאשם שהגיע לביתה של המתלוננת דשם על מנת להוביל מכונת כביסה. הנאשם אחז המתלוננת בחוזקה, חיבק אותה וניסה לנשקה על שפתיה. נקבע מתחם עונש הולם שבין חודשיים מאסר בפועל, לנשיאה בדרך של עבודות שירות, לבין 12 חודשי מאסר בפועל.</w:t>
      </w:r>
    </w:p>
    <w:p w:rsidR="00DA1B9D" w:rsidRDefault="00DA1B9D" w:rsidP="00DA1B9D">
      <w:pPr>
        <w:numPr>
          <w:ilvl w:val="0"/>
          <w:numId w:val="4"/>
        </w:numPr>
        <w:spacing w:after="120" w:line="360" w:lineRule="auto"/>
        <w:ind w:left="360"/>
        <w:jc w:val="both"/>
        <w:rPr>
          <w:rFonts w:ascii="Tahoma" w:hAnsi="Tahoma"/>
        </w:rPr>
      </w:pPr>
      <w:r>
        <w:rPr>
          <w:rFonts w:ascii="Tahoma" w:hAnsi="Tahoma"/>
          <w:rtl/>
        </w:rPr>
        <w:t xml:space="preserve">אשר לעבירה של תקיפה שוטר עמדה ב"כ המאשימה על כך שביצועה פוגע לא רק בערך החברתי של ההגנה על שלמות הגוף אלא גם בערך </w:t>
      </w:r>
      <w:r w:rsidR="00553D0A">
        <w:rPr>
          <w:rFonts w:ascii="Tahoma" w:hAnsi="Tahoma" w:hint="cs"/>
          <w:rtl/>
        </w:rPr>
        <w:t xml:space="preserve">החברתי של </w:t>
      </w:r>
      <w:r>
        <w:rPr>
          <w:rFonts w:ascii="Tahoma" w:hAnsi="Tahoma"/>
          <w:rtl/>
        </w:rPr>
        <w:t xml:space="preserve">ההגנה על שמירת החוק והסדר הציבורי. לעניין עבירה זו הפנתה ב"כ המאשימה לפסיקה שבחלקה ישנה מאוד, מקצתה אף לפני תחילתו של תיקון 113 לחוק העונשין. עוד הפנתה התובעת לרע"פ 31/15 </w:t>
      </w:r>
      <w:r>
        <w:rPr>
          <w:rFonts w:ascii="Tahoma" w:hAnsi="Tahoma"/>
          <w:b/>
          <w:bCs/>
          <w:rtl/>
        </w:rPr>
        <w:t>אפרסמון נ' מדינת ישראל</w:t>
      </w:r>
      <w:r>
        <w:rPr>
          <w:rFonts w:ascii="Tahoma" w:hAnsi="Tahoma"/>
          <w:rtl/>
        </w:rPr>
        <w:t xml:space="preserve"> (20.01.2015), שם דובר במבקש שהורשע בעבירה של תקיפה שוטר ועבירות נלוות</w:t>
      </w:r>
      <w:r w:rsidR="00523ED8">
        <w:rPr>
          <w:rFonts w:ascii="Tahoma" w:hAnsi="Tahoma" w:hint="cs"/>
          <w:rtl/>
        </w:rPr>
        <w:t>,</w:t>
      </w:r>
      <w:r>
        <w:rPr>
          <w:rFonts w:ascii="Tahoma" w:hAnsi="Tahoma"/>
          <w:rtl/>
        </w:rPr>
        <w:t xml:space="preserve"> בגין כך שהתנגד למעצר בכוח ונשך שוטר ברגלו. באותו מקרה נקבע מתחם עונש הולם שבין מספר חודשי מאסר, לנשיאה בדרך של עבודות שירות, לבין 18 חודשי מאסר בפועל. </w:t>
      </w:r>
    </w:p>
    <w:p w:rsidR="00523ED8" w:rsidRDefault="00DA1B9D" w:rsidP="00523ED8">
      <w:pPr>
        <w:numPr>
          <w:ilvl w:val="0"/>
          <w:numId w:val="4"/>
        </w:numPr>
        <w:spacing w:after="120" w:line="360" w:lineRule="auto"/>
        <w:ind w:left="360"/>
        <w:jc w:val="both"/>
        <w:rPr>
          <w:rFonts w:ascii="Tahoma" w:hAnsi="Tahoma"/>
        </w:rPr>
      </w:pPr>
      <w:r>
        <w:rPr>
          <w:rFonts w:ascii="Tahoma" w:hAnsi="Tahoma"/>
          <w:rtl/>
        </w:rPr>
        <w:t xml:space="preserve">לרקע כל </w:t>
      </w:r>
      <w:r w:rsidR="00523ED8">
        <w:rPr>
          <w:rFonts w:ascii="Tahoma" w:hAnsi="Tahoma" w:hint="cs"/>
          <w:rtl/>
        </w:rPr>
        <w:t xml:space="preserve">אלה </w:t>
      </w:r>
      <w:r>
        <w:rPr>
          <w:rFonts w:ascii="Tahoma" w:hAnsi="Tahoma"/>
          <w:rtl/>
        </w:rPr>
        <w:t>עתרה ב"כ המאשימה לקביעת מתחמי עונש נפרדים בשני האישומים</w:t>
      </w:r>
      <w:r w:rsidR="00BA2334">
        <w:rPr>
          <w:rFonts w:ascii="Tahoma" w:hAnsi="Tahoma" w:hint="cs"/>
          <w:rtl/>
        </w:rPr>
        <w:t>, כלהלן</w:t>
      </w:r>
      <w:r>
        <w:rPr>
          <w:rFonts w:ascii="Tahoma" w:hAnsi="Tahoma"/>
          <w:rtl/>
        </w:rPr>
        <w:t>: ב</w:t>
      </w:r>
      <w:r w:rsidRPr="00523ED8">
        <w:rPr>
          <w:rFonts w:ascii="Tahoma" w:hAnsi="Tahoma"/>
          <w:b/>
          <w:bCs/>
          <w:rtl/>
        </w:rPr>
        <w:t>אישום הראשון –</w:t>
      </w:r>
      <w:r>
        <w:rPr>
          <w:rFonts w:ascii="Tahoma" w:hAnsi="Tahoma"/>
          <w:rtl/>
        </w:rPr>
        <w:t xml:space="preserve"> מתחם שבין 6 חודשי מאסר בפועל לבין 18 חודשי מאסר בפועל; ב</w:t>
      </w:r>
      <w:r w:rsidRPr="00523ED8">
        <w:rPr>
          <w:rFonts w:ascii="Tahoma" w:hAnsi="Tahoma"/>
          <w:b/>
          <w:bCs/>
          <w:rtl/>
        </w:rPr>
        <w:t>אישום השני –</w:t>
      </w:r>
      <w:r>
        <w:rPr>
          <w:rFonts w:ascii="Tahoma" w:hAnsi="Tahoma"/>
          <w:rtl/>
        </w:rPr>
        <w:t xml:space="preserve"> מתחם שבין 10 חודשי מאסר </w:t>
      </w:r>
      <w:r w:rsidR="00523ED8">
        <w:rPr>
          <w:rFonts w:ascii="Tahoma" w:hAnsi="Tahoma"/>
          <w:rtl/>
        </w:rPr>
        <w:t>בפועל לבין 24 חודשי מאסר בפועל.</w:t>
      </w:r>
    </w:p>
    <w:p w:rsidR="00DA1B9D" w:rsidRDefault="00DA1B9D" w:rsidP="00BA2334">
      <w:pPr>
        <w:numPr>
          <w:ilvl w:val="0"/>
          <w:numId w:val="4"/>
        </w:numPr>
        <w:spacing w:after="120" w:line="360" w:lineRule="auto"/>
        <w:ind w:left="360"/>
        <w:jc w:val="both"/>
        <w:rPr>
          <w:rFonts w:ascii="Tahoma" w:hAnsi="Tahoma"/>
        </w:rPr>
      </w:pPr>
      <w:r>
        <w:rPr>
          <w:rFonts w:ascii="Tahoma" w:hAnsi="Tahoma"/>
          <w:rtl/>
        </w:rPr>
        <w:t xml:space="preserve">אשר לגזירת עונשו של הנאשם בתוך מתחמי העונש ההולמים טענה ב"כ המאשימה לקביעתו ברף העליון של השליש התחתון בכל מתחם, וזאת בהתחשב בעברו הנקי של הנאשם ובנטילת </w:t>
      </w:r>
      <w:r>
        <w:rPr>
          <w:rFonts w:ascii="Tahoma" w:hAnsi="Tahoma"/>
          <w:rtl/>
        </w:rPr>
        <w:lastRenderedPageBreak/>
        <w:t xml:space="preserve">האחריות, אם גם המאוחרת. עם זאת הדגישה התובעת את העדר האופק השיקומי </w:t>
      </w:r>
      <w:r w:rsidR="00523ED8">
        <w:rPr>
          <w:rFonts w:ascii="Tahoma" w:hAnsi="Tahoma" w:hint="cs"/>
          <w:rtl/>
        </w:rPr>
        <w:t xml:space="preserve">בעניינו של הנאשם </w:t>
      </w:r>
      <w:r>
        <w:rPr>
          <w:rFonts w:ascii="Tahoma" w:hAnsi="Tahoma"/>
          <w:rtl/>
        </w:rPr>
        <w:t>– לאחר שההגנה עתרה להקדמת הטיעונים לעונש בטרם הכנת תסקיר שירות המבחן – וביקשה להשית על הנאשם 10 חודשי מאסר בפועל בגין האישום הראשון, 16 חודשי מאסר בפועל בגין האישום השני, ולקבוע כי העונשים י</w:t>
      </w:r>
      <w:r w:rsidR="00BA2334">
        <w:rPr>
          <w:rFonts w:ascii="Tahoma" w:hAnsi="Tahoma" w:hint="cs"/>
          <w:rtl/>
        </w:rPr>
        <w:t>צטברו זה לזה</w:t>
      </w:r>
      <w:r>
        <w:rPr>
          <w:rFonts w:ascii="Tahoma" w:hAnsi="Tahoma"/>
          <w:rtl/>
        </w:rPr>
        <w:t>. עוד עתרה התובעת להטלת ענישה נלווית שתכלול מאסר מותנה ופיצויים ל</w:t>
      </w:r>
      <w:r w:rsidR="00BA2334">
        <w:rPr>
          <w:rFonts w:ascii="Tahoma" w:hAnsi="Tahoma" w:hint="cs"/>
          <w:rtl/>
        </w:rPr>
        <w:t xml:space="preserve">כל </w:t>
      </w:r>
      <w:r>
        <w:rPr>
          <w:rFonts w:ascii="Tahoma" w:hAnsi="Tahoma"/>
          <w:rtl/>
        </w:rPr>
        <w:t>נפגעי העבירה.</w:t>
      </w:r>
    </w:p>
    <w:p w:rsidR="00DA1B9D" w:rsidRDefault="00DA1B9D" w:rsidP="00772F9D">
      <w:pPr>
        <w:numPr>
          <w:ilvl w:val="0"/>
          <w:numId w:val="4"/>
        </w:numPr>
        <w:spacing w:after="120" w:line="360" w:lineRule="auto"/>
        <w:ind w:left="360"/>
        <w:jc w:val="both"/>
        <w:rPr>
          <w:rFonts w:ascii="Tahoma" w:hAnsi="Tahoma"/>
        </w:rPr>
      </w:pPr>
      <w:r>
        <w:rPr>
          <w:rFonts w:ascii="Tahoma" w:hAnsi="Tahoma"/>
          <w:rtl/>
        </w:rPr>
        <w:t>ב"כ הנאשם, מצידו, הדגיש בטיעוניו את הרקע לביצוע העבירות, שלטענתו היה נעוץ בסכסוך שכנים שהתגלע בין מעסיקו של הנאשם ואשתו לבין המתלוננת. המעסיק ואשתו הביאו ל</w:t>
      </w:r>
      <w:r w:rsidR="00E82960">
        <w:rPr>
          <w:rFonts w:ascii="Tahoma" w:hAnsi="Tahoma" w:hint="cs"/>
          <w:rtl/>
        </w:rPr>
        <w:t>דירת</w:t>
      </w:r>
      <w:r>
        <w:rPr>
          <w:rFonts w:ascii="Tahoma" w:hAnsi="Tahoma"/>
          <w:rtl/>
        </w:rPr>
        <w:t>ם כלב, על מנת לתמוך במעסיק (ב</w:t>
      </w:r>
      <w:r w:rsidR="00523ED8">
        <w:rPr>
          <w:rFonts w:ascii="Tahoma" w:hAnsi="Tahoma" w:hint="cs"/>
          <w:rtl/>
        </w:rPr>
        <w:t xml:space="preserve">של </w:t>
      </w:r>
      <w:r>
        <w:rPr>
          <w:rFonts w:ascii="Tahoma" w:hAnsi="Tahoma"/>
          <w:rtl/>
        </w:rPr>
        <w:t xml:space="preserve">מצבו הבריאותי הקשה) ונביחותיו של הכלב הפריעו למתלוננת. לטענת הסניגור, המתלוננת התגוררה תקופה ממושכת בבניין כך שנראה כי </w:t>
      </w:r>
      <w:r w:rsidR="00523ED8">
        <w:rPr>
          <w:rFonts w:ascii="Tahoma" w:hAnsi="Tahoma" w:hint="cs"/>
          <w:rtl/>
        </w:rPr>
        <w:t xml:space="preserve">לא </w:t>
      </w:r>
      <w:r>
        <w:rPr>
          <w:rFonts w:ascii="Tahoma" w:hAnsi="Tahoma"/>
          <w:rtl/>
        </w:rPr>
        <w:t xml:space="preserve">חשה בסכנה כלשהי. המתלוננת אף לא התייצבה בבית המשפט על מנת להחקר על הדברים שטענה בהצהרתה ע/1, ובנסיבות אלה לא ניתן לדעת </w:t>
      </w:r>
      <w:r w:rsidR="00523ED8">
        <w:rPr>
          <w:rFonts w:ascii="Tahoma" w:hAnsi="Tahoma" w:hint="cs"/>
          <w:rtl/>
        </w:rPr>
        <w:t>ה</w:t>
      </w:r>
      <w:r>
        <w:rPr>
          <w:rFonts w:ascii="Tahoma" w:hAnsi="Tahoma"/>
          <w:rtl/>
        </w:rPr>
        <w:t>אם מדובר בהצהרת אמת.</w:t>
      </w:r>
    </w:p>
    <w:p w:rsidR="00DA1B9D" w:rsidRPr="00523ED8" w:rsidRDefault="00DA1B9D" w:rsidP="00684EC0">
      <w:pPr>
        <w:numPr>
          <w:ilvl w:val="0"/>
          <w:numId w:val="4"/>
        </w:numPr>
        <w:spacing w:after="120" w:line="360" w:lineRule="auto"/>
        <w:ind w:left="360"/>
        <w:jc w:val="both"/>
        <w:rPr>
          <w:rFonts w:ascii="Tahoma" w:hAnsi="Tahoma"/>
        </w:rPr>
      </w:pPr>
      <w:r w:rsidRPr="00523ED8">
        <w:rPr>
          <w:rFonts w:ascii="Tahoma" w:hAnsi="Tahoma"/>
          <w:rtl/>
        </w:rPr>
        <w:t>עוד הדגיש ב"כ הנאשם את ההודאה ו</w:t>
      </w:r>
      <w:r w:rsidR="00523ED8" w:rsidRPr="00523ED8">
        <w:rPr>
          <w:rFonts w:ascii="Tahoma" w:hAnsi="Tahoma" w:hint="cs"/>
          <w:rtl/>
        </w:rPr>
        <w:t xml:space="preserve">את </w:t>
      </w:r>
      <w:r w:rsidRPr="00523ED8">
        <w:rPr>
          <w:rFonts w:ascii="Tahoma" w:hAnsi="Tahoma"/>
          <w:rtl/>
        </w:rPr>
        <w:t xml:space="preserve">נטילת האחריות על ידי הנאשם, לאחר שנערכו תיקונים מהותיים בכתב האישום המקורי לרקע קשיים ראייתיים, ואת עברו הנקי של הנאשם. ב"כ הנאשם </w:t>
      </w:r>
      <w:r w:rsidR="00523ED8" w:rsidRPr="00523ED8">
        <w:rPr>
          <w:rFonts w:ascii="Tahoma" w:hAnsi="Tahoma" w:hint="cs"/>
          <w:rtl/>
        </w:rPr>
        <w:t xml:space="preserve">אמנם </w:t>
      </w:r>
      <w:r w:rsidRPr="00523ED8">
        <w:rPr>
          <w:rFonts w:ascii="Tahoma" w:hAnsi="Tahoma"/>
          <w:rtl/>
        </w:rPr>
        <w:t xml:space="preserve">ער לכך שמרשו ניסה להימלט מהארץ בעודו נתון במעצר בית, אך לטענתו </w:t>
      </w:r>
      <w:r w:rsidR="00523ED8" w:rsidRPr="00523ED8">
        <w:rPr>
          <w:rFonts w:ascii="Tahoma" w:hAnsi="Tahoma" w:hint="cs"/>
          <w:rtl/>
        </w:rPr>
        <w:t xml:space="preserve">הנאשם </w:t>
      </w:r>
      <w:r w:rsidRPr="00523ED8">
        <w:rPr>
          <w:rFonts w:ascii="Tahoma" w:hAnsi="Tahoma"/>
          <w:rtl/>
        </w:rPr>
        <w:t xml:space="preserve">עשה כן משום שהתגעגע לאשתו שבהודו </w:t>
      </w:r>
      <w:r w:rsidR="00523ED8" w:rsidRPr="00523ED8">
        <w:rPr>
          <w:rFonts w:ascii="Tahoma" w:hAnsi="Tahoma"/>
          <w:rtl/>
        </w:rPr>
        <w:t>–</w:t>
      </w:r>
      <w:r w:rsidR="00523ED8" w:rsidRPr="00523ED8">
        <w:rPr>
          <w:rFonts w:ascii="Tahoma" w:hAnsi="Tahoma" w:hint="cs"/>
          <w:rtl/>
        </w:rPr>
        <w:t xml:space="preserve"> </w:t>
      </w:r>
      <w:r w:rsidRPr="00523ED8">
        <w:rPr>
          <w:rFonts w:ascii="Tahoma" w:hAnsi="Tahoma"/>
          <w:rtl/>
        </w:rPr>
        <w:t xml:space="preserve">לאחר שהיה נתון במעצר בית </w:t>
      </w:r>
      <w:r w:rsidR="00654D5B">
        <w:rPr>
          <w:rFonts w:ascii="Tahoma" w:hAnsi="Tahoma" w:hint="cs"/>
          <w:rtl/>
        </w:rPr>
        <w:t xml:space="preserve">מוחלט במשך </w:t>
      </w:r>
      <w:r w:rsidRPr="00523ED8">
        <w:rPr>
          <w:rFonts w:ascii="Tahoma" w:hAnsi="Tahoma"/>
          <w:rtl/>
        </w:rPr>
        <w:t xml:space="preserve">תקופה </w:t>
      </w:r>
      <w:r w:rsidR="00772F9D">
        <w:rPr>
          <w:rFonts w:ascii="Tahoma" w:hAnsi="Tahoma" w:hint="cs"/>
          <w:rtl/>
        </w:rPr>
        <w:t xml:space="preserve">ממושכת </w:t>
      </w:r>
      <w:r w:rsidRPr="00523ED8">
        <w:rPr>
          <w:rFonts w:ascii="Tahoma" w:hAnsi="Tahoma"/>
          <w:rtl/>
        </w:rPr>
        <w:t>של כשנה. אשר לעבירה של תקיפת שוטר ביקש הסניגור לשוות לה מימדי קולה נוכח העו</w:t>
      </w:r>
      <w:r w:rsidR="00654D5B">
        <w:rPr>
          <w:rFonts w:ascii="Tahoma" w:hAnsi="Tahoma" w:hint="cs"/>
          <w:rtl/>
        </w:rPr>
        <w:t>ב</w:t>
      </w:r>
      <w:r w:rsidRPr="00523ED8">
        <w:rPr>
          <w:rFonts w:ascii="Tahoma" w:hAnsi="Tahoma"/>
          <w:rtl/>
        </w:rPr>
        <w:t>דה שמדובר במעצר ראשון בחייו של הנאשם, תוך קשיי שפה וקשיי תקשורת שהביאו אותו להתפרצות זעם.</w:t>
      </w:r>
    </w:p>
    <w:p w:rsidR="00DA1B9D" w:rsidRDefault="00DA1B9D" w:rsidP="00654D5B">
      <w:pPr>
        <w:numPr>
          <w:ilvl w:val="0"/>
          <w:numId w:val="4"/>
        </w:numPr>
        <w:spacing w:after="120" w:line="360" w:lineRule="auto"/>
        <w:ind w:left="360"/>
        <w:jc w:val="both"/>
        <w:rPr>
          <w:rFonts w:ascii="Tahoma" w:hAnsi="Tahoma"/>
        </w:rPr>
      </w:pPr>
      <w:r>
        <w:rPr>
          <w:rFonts w:ascii="Tahoma" w:hAnsi="Tahoma"/>
          <w:rtl/>
        </w:rPr>
        <w:t>ב"כ הנאשם עתר לקביעת מתחם עונש הולם אחד לשני האישומים, שכן לדידו מדובר באירוע מתמשך, כאשר האירוע מושא האישום השני קשור ב"</w:t>
      </w:r>
      <w:r w:rsidRPr="00654D5B">
        <w:rPr>
          <w:rFonts w:ascii="Tahoma" w:hAnsi="Tahoma"/>
          <w:b/>
          <w:bCs/>
          <w:rtl/>
        </w:rPr>
        <w:t>קשר סיבתי</w:t>
      </w:r>
      <w:r>
        <w:rPr>
          <w:rFonts w:ascii="Tahoma" w:hAnsi="Tahoma"/>
          <w:rtl/>
        </w:rPr>
        <w:t xml:space="preserve">" לאירוע מושא האישום הראשון (בפרוטוקול, עמ' 16 שורה 11 ואילך). ב"כ הנאשם הדגיש כי הפסיקה אליה הפנתה </w:t>
      </w:r>
      <w:r w:rsidR="00654D5B">
        <w:rPr>
          <w:rFonts w:ascii="Tahoma" w:hAnsi="Tahoma" w:hint="cs"/>
          <w:rtl/>
        </w:rPr>
        <w:t xml:space="preserve">ב"כ המאשימה </w:t>
      </w:r>
      <w:r>
        <w:rPr>
          <w:rFonts w:ascii="Tahoma" w:hAnsi="Tahoma"/>
          <w:rtl/>
        </w:rPr>
        <w:t xml:space="preserve">עניינה במקרים חמורים מאלה שבגינם הורשע הנאשם, </w:t>
      </w:r>
      <w:r w:rsidR="00654D5B">
        <w:rPr>
          <w:rFonts w:ascii="Tahoma" w:hAnsi="Tahoma" w:hint="cs"/>
          <w:rtl/>
        </w:rPr>
        <w:t>ו</w:t>
      </w:r>
      <w:r>
        <w:rPr>
          <w:rFonts w:ascii="Tahoma" w:hAnsi="Tahoma"/>
          <w:rtl/>
        </w:rPr>
        <w:t xml:space="preserve">במבצעים בעלי עבר פלילי, והפנה לפסיקה אחרת (הגם שיש להעיר כי </w:t>
      </w:r>
      <w:r w:rsidR="00654D5B">
        <w:rPr>
          <w:rFonts w:ascii="Tahoma" w:hAnsi="Tahoma" w:hint="cs"/>
          <w:rtl/>
        </w:rPr>
        <w:t xml:space="preserve">הפסיקה אליה הפנה הסניגור </w:t>
      </w:r>
      <w:r>
        <w:rPr>
          <w:rFonts w:ascii="Tahoma" w:hAnsi="Tahoma"/>
          <w:rtl/>
        </w:rPr>
        <w:t>עוסקת בעבירות אחרות מאלה בהן הורשע הנאשם, לרבות עבירות של מעשה מגונה בפומבי והטרדה מינית).</w:t>
      </w:r>
    </w:p>
    <w:p w:rsidR="00DA1B9D" w:rsidRDefault="00DA1B9D" w:rsidP="00772F9D">
      <w:pPr>
        <w:numPr>
          <w:ilvl w:val="0"/>
          <w:numId w:val="4"/>
        </w:numPr>
        <w:spacing w:after="120" w:line="360" w:lineRule="auto"/>
        <w:ind w:left="360"/>
        <w:jc w:val="both"/>
        <w:rPr>
          <w:rFonts w:ascii="Tahoma" w:hAnsi="Tahoma"/>
        </w:rPr>
      </w:pPr>
      <w:r>
        <w:rPr>
          <w:rFonts w:ascii="Tahoma" w:hAnsi="Tahoma"/>
          <w:rtl/>
        </w:rPr>
        <w:t xml:space="preserve">ב"כ הנאשם שב והדגיש את אופיו הטוב של הנאשם, </w:t>
      </w:r>
      <w:r w:rsidR="00654D5B">
        <w:rPr>
          <w:rFonts w:ascii="Tahoma" w:hAnsi="Tahoma" w:hint="cs"/>
          <w:rtl/>
        </w:rPr>
        <w:t xml:space="preserve">שעברו נקי לחלוטין, כפי שעלה </w:t>
      </w:r>
      <w:r>
        <w:rPr>
          <w:rFonts w:ascii="Tahoma" w:hAnsi="Tahoma"/>
          <w:rtl/>
        </w:rPr>
        <w:t>מעדות עדת האופי (אשת המעסיק), וכן את התקופה הארוכה בה היה נתון הנאשם במעצר בית מוחלט; ולאחרונה אף במעצר ממש. הסניגור עתר</w:t>
      </w:r>
      <w:r w:rsidR="00654D5B">
        <w:rPr>
          <w:rFonts w:ascii="Tahoma" w:hAnsi="Tahoma" w:hint="cs"/>
          <w:rtl/>
        </w:rPr>
        <w:t xml:space="preserve"> אפוא</w:t>
      </w:r>
      <w:r>
        <w:rPr>
          <w:rFonts w:ascii="Tahoma" w:hAnsi="Tahoma"/>
          <w:rtl/>
        </w:rPr>
        <w:t xml:space="preserve">, בכל לשון של בקשה, להסתפק לכל היותר בימי מעצרו של הנאשם, שכיום כל רצונו הוא לשוב למשפחתו ולמולדתו. </w:t>
      </w:r>
      <w:r w:rsidR="00654D5B">
        <w:rPr>
          <w:rFonts w:ascii="Tahoma" w:hAnsi="Tahoma" w:hint="cs"/>
          <w:rtl/>
        </w:rPr>
        <w:t xml:space="preserve">לשיטת הסניגור, </w:t>
      </w:r>
      <w:r w:rsidR="00654D5B">
        <w:rPr>
          <w:rFonts w:ascii="Tahoma" w:hAnsi="Tahoma"/>
          <w:rtl/>
        </w:rPr>
        <w:t>בנסיבות אלה</w:t>
      </w:r>
      <w:r>
        <w:rPr>
          <w:rFonts w:ascii="Tahoma" w:hAnsi="Tahoma"/>
          <w:rtl/>
        </w:rPr>
        <w:t xml:space="preserve"> גם האינטרס הציבורי יצא נשכר שכן </w:t>
      </w:r>
      <w:r w:rsidR="00772F9D">
        <w:rPr>
          <w:rFonts w:ascii="Tahoma" w:hAnsi="Tahoma" w:hint="cs"/>
          <w:rtl/>
        </w:rPr>
        <w:t xml:space="preserve">כך </w:t>
      </w:r>
      <w:r>
        <w:rPr>
          <w:rFonts w:ascii="Tahoma" w:hAnsi="Tahoma"/>
          <w:rtl/>
        </w:rPr>
        <w:t xml:space="preserve">יורחק </w:t>
      </w:r>
      <w:r w:rsidR="00772F9D">
        <w:rPr>
          <w:rFonts w:ascii="Tahoma" w:hAnsi="Tahoma" w:hint="cs"/>
          <w:rtl/>
        </w:rPr>
        <w:t xml:space="preserve">הנאשם </w:t>
      </w:r>
      <w:r w:rsidR="00654D5B">
        <w:rPr>
          <w:rFonts w:ascii="Tahoma" w:hAnsi="Tahoma" w:hint="cs"/>
          <w:rtl/>
        </w:rPr>
        <w:t xml:space="preserve">אחת </w:t>
      </w:r>
      <w:r>
        <w:rPr>
          <w:rFonts w:ascii="Tahoma" w:hAnsi="Tahoma"/>
          <w:rtl/>
        </w:rPr>
        <w:t>ולתמיד מהמתלוננת.</w:t>
      </w:r>
    </w:p>
    <w:p w:rsidR="00DA1B9D" w:rsidRDefault="00DA1B9D" w:rsidP="00654D5B">
      <w:pPr>
        <w:numPr>
          <w:ilvl w:val="0"/>
          <w:numId w:val="4"/>
        </w:numPr>
        <w:spacing w:after="120" w:line="360" w:lineRule="auto"/>
        <w:ind w:left="360"/>
        <w:jc w:val="both"/>
        <w:rPr>
          <w:rFonts w:ascii="Tahoma" w:hAnsi="Tahoma"/>
        </w:rPr>
      </w:pPr>
      <w:r>
        <w:rPr>
          <w:rFonts w:ascii="Tahoma" w:hAnsi="Tahoma"/>
          <w:rtl/>
        </w:rPr>
        <w:t>לבסוף הנאשם, בדברו האחרון לעונש, הסתפק בדברי סניגור</w:t>
      </w:r>
      <w:r w:rsidR="00654D5B">
        <w:rPr>
          <w:rFonts w:ascii="Tahoma" w:hAnsi="Tahoma" w:hint="cs"/>
          <w:rtl/>
        </w:rPr>
        <w:t>ו</w:t>
      </w:r>
      <w:r>
        <w:rPr>
          <w:rFonts w:ascii="Tahoma" w:hAnsi="Tahoma"/>
          <w:rtl/>
        </w:rPr>
        <w:t xml:space="preserve"> ולא ביקש להוסיף דברים.</w:t>
      </w:r>
    </w:p>
    <w:p w:rsidR="00DA1B9D" w:rsidRPr="00654D5B" w:rsidRDefault="00DA1B9D" w:rsidP="0072704B">
      <w:pPr>
        <w:spacing w:after="120" w:line="360" w:lineRule="auto"/>
        <w:jc w:val="both"/>
        <w:rPr>
          <w:rFonts w:ascii="Tahoma" w:hAnsi="Tahoma"/>
          <w:rtl/>
        </w:rPr>
      </w:pPr>
    </w:p>
    <w:p w:rsidR="00DA1B9D" w:rsidRDefault="00DA1B9D" w:rsidP="00DA1B9D">
      <w:pPr>
        <w:pStyle w:val="ab"/>
        <w:numPr>
          <w:ilvl w:val="0"/>
          <w:numId w:val="3"/>
        </w:numPr>
        <w:spacing w:after="120" w:line="360" w:lineRule="auto"/>
        <w:ind w:left="360"/>
        <w:jc w:val="both"/>
        <w:rPr>
          <w:rFonts w:ascii="Tahoma" w:hAnsi="Tahoma"/>
          <w:b/>
          <w:bCs/>
          <w:u w:val="single"/>
          <w:rtl/>
        </w:rPr>
      </w:pPr>
      <w:r>
        <w:rPr>
          <w:rFonts w:hint="cs"/>
          <w:b/>
          <w:bCs/>
          <w:u w:val="single"/>
          <w:rtl/>
        </w:rPr>
        <w:lastRenderedPageBreak/>
        <w:t>קביעת מתחמי העונש ההולמים</w:t>
      </w:r>
      <w:r w:rsidRPr="00DE411D">
        <w:rPr>
          <w:rFonts w:hint="cs"/>
          <w:b/>
          <w:bCs/>
          <w:u w:val="single"/>
          <w:rtl/>
        </w:rPr>
        <w:t>:</w:t>
      </w:r>
    </w:p>
    <w:p w:rsidR="00DA1B9D" w:rsidRPr="00DA1B9D" w:rsidRDefault="00DA1B9D" w:rsidP="00DA1B9D">
      <w:pPr>
        <w:numPr>
          <w:ilvl w:val="0"/>
          <w:numId w:val="4"/>
        </w:numPr>
        <w:spacing w:after="120" w:line="360" w:lineRule="auto"/>
        <w:ind w:left="360"/>
        <w:jc w:val="both"/>
        <w:rPr>
          <w:rFonts w:ascii="Tahoma" w:hAnsi="Tahoma"/>
        </w:rPr>
      </w:pPr>
      <w:r>
        <w:rPr>
          <w:rFonts w:hint="cs"/>
          <w:rtl/>
        </w:rPr>
        <w:t xml:space="preserve">בעת גזירת עונשו של נאשם על בית המשפט לקבוע, תחילה, את מתחם העונש ההולם לכל "אירוע עברייני" שבגינו הורשע הנאשם, וזאת בהתאם </w:t>
      </w:r>
      <w:r w:rsidRPr="0072704B">
        <w:rPr>
          <w:rFonts w:ascii="Tahoma" w:hAnsi="Tahoma" w:hint="cs"/>
          <w:rtl/>
        </w:rPr>
        <w:t xml:space="preserve">לעיקרון ההלימה. בהקשר זה יתחשב בית המשפט, בין השאר, </w:t>
      </w:r>
      <w:r>
        <w:rPr>
          <w:rFonts w:hint="cs"/>
          <w:rtl/>
        </w:rPr>
        <w:t>בערכים החברתיים שנפגעו מביצוע העבירות ובמידת הפגיעה בהם, במדיניות הענישה הנהוגה ובנסיבות הקשורות בביצוע העבירות</w:t>
      </w:r>
      <w:r w:rsidR="00382FB6">
        <w:rPr>
          <w:rFonts w:hint="cs"/>
          <w:rtl/>
        </w:rPr>
        <w:t xml:space="preserve"> </w:t>
      </w:r>
      <w:r w:rsidR="00382FB6">
        <w:rPr>
          <w:rtl/>
        </w:rPr>
        <w:t>–</w:t>
      </w:r>
      <w:r w:rsidR="00382FB6">
        <w:rPr>
          <w:rFonts w:hint="cs"/>
          <w:rtl/>
        </w:rPr>
        <w:t xml:space="preserve"> לרבות אלה המנויות בהוראות סעיף 40ט לחוק העונשין.</w:t>
      </w:r>
    </w:p>
    <w:p w:rsidR="00382FB6" w:rsidRDefault="00DA1B9D" w:rsidP="00772F9D">
      <w:pPr>
        <w:numPr>
          <w:ilvl w:val="0"/>
          <w:numId w:val="4"/>
        </w:numPr>
        <w:spacing w:after="120" w:line="360" w:lineRule="auto"/>
        <w:ind w:left="360"/>
        <w:jc w:val="both"/>
        <w:rPr>
          <w:rFonts w:ascii="Tahoma" w:hAnsi="Tahoma"/>
        </w:rPr>
      </w:pPr>
      <w:r>
        <w:rPr>
          <w:rFonts w:hint="cs"/>
          <w:rtl/>
        </w:rPr>
        <w:t>בפרשה דנא מדובר בשני אישומים נפרדים, שעניינם בעבירות שונות שנעברו במקומות ובז</w:t>
      </w:r>
      <w:r w:rsidR="00382FB6">
        <w:rPr>
          <w:rFonts w:hint="cs"/>
          <w:rtl/>
        </w:rPr>
        <w:t>מנים שונים וכנגד קורבנות שונים. בנסיבות אלה, על פני הדברים מדובר באירועים עברייניים נפרדים</w:t>
      </w:r>
      <w:r w:rsidR="00654D5B">
        <w:rPr>
          <w:rFonts w:ascii="Tahoma" w:hAnsi="Tahoma" w:hint="cs"/>
          <w:rtl/>
        </w:rPr>
        <w:t xml:space="preserve"> ועצמאיים זה מז</w:t>
      </w:r>
      <w:r w:rsidR="00382FB6">
        <w:rPr>
          <w:rFonts w:ascii="Tahoma" w:hAnsi="Tahoma" w:hint="cs"/>
          <w:rtl/>
        </w:rPr>
        <w:t>ה. אכן, כטיעון הסניגור, קיי</w:t>
      </w:r>
      <w:r w:rsidR="00654D5B">
        <w:rPr>
          <w:rFonts w:ascii="Tahoma" w:hAnsi="Tahoma" w:hint="cs"/>
          <w:rtl/>
        </w:rPr>
        <w:t>מת זיקה מסוימת</w:t>
      </w:r>
      <w:r w:rsidR="00382FB6">
        <w:rPr>
          <w:rFonts w:ascii="Tahoma" w:hAnsi="Tahoma" w:hint="cs"/>
          <w:rtl/>
        </w:rPr>
        <w:t xml:space="preserve"> בין האישום השני לבין האישום הראשון, ב</w:t>
      </w:r>
      <w:r w:rsidR="005D468B">
        <w:rPr>
          <w:rFonts w:ascii="Tahoma" w:hAnsi="Tahoma" w:hint="cs"/>
          <w:rtl/>
        </w:rPr>
        <w:t xml:space="preserve">מובן זה </w:t>
      </w:r>
      <w:r w:rsidR="00382FB6">
        <w:rPr>
          <w:rFonts w:ascii="Tahoma" w:hAnsi="Tahoma" w:hint="cs"/>
          <w:rtl/>
        </w:rPr>
        <w:t xml:space="preserve">שהאירוע מושא האישום השני אירע בעת שהנאשם היה עצור בגין האירוע מושא האישום הראשון. ואולם, בעובדה </w:t>
      </w:r>
      <w:r w:rsidR="005D468B">
        <w:rPr>
          <w:rFonts w:ascii="Tahoma" w:hAnsi="Tahoma" w:hint="cs"/>
          <w:rtl/>
        </w:rPr>
        <w:t xml:space="preserve">יחידה </w:t>
      </w:r>
      <w:r w:rsidR="00382FB6">
        <w:rPr>
          <w:rFonts w:ascii="Tahoma" w:hAnsi="Tahoma" w:hint="cs"/>
          <w:rtl/>
        </w:rPr>
        <w:t>זו אין כדי ל</w:t>
      </w:r>
      <w:r w:rsidR="00654D5B">
        <w:rPr>
          <w:rFonts w:ascii="Tahoma" w:hAnsi="Tahoma" w:hint="cs"/>
          <w:rtl/>
        </w:rPr>
        <w:t xml:space="preserve">הביא למסקנה </w:t>
      </w:r>
      <w:r w:rsidR="00382FB6">
        <w:rPr>
          <w:rFonts w:ascii="Tahoma" w:hAnsi="Tahoma" w:hint="cs"/>
          <w:rtl/>
        </w:rPr>
        <w:t xml:space="preserve">כי מדובר, כביכול, ב"אירוע" </w:t>
      </w:r>
      <w:r w:rsidR="005D468B">
        <w:rPr>
          <w:rFonts w:ascii="Tahoma" w:hAnsi="Tahoma" w:hint="cs"/>
          <w:rtl/>
        </w:rPr>
        <w:t xml:space="preserve">עברייני </w:t>
      </w:r>
      <w:r w:rsidR="00382FB6">
        <w:rPr>
          <w:rFonts w:ascii="Tahoma" w:hAnsi="Tahoma" w:hint="cs"/>
          <w:rtl/>
        </w:rPr>
        <w:t>אחד או בפרשה עבריינית אחת; ו</w:t>
      </w:r>
      <w:r w:rsidR="00654D5B">
        <w:rPr>
          <w:rFonts w:ascii="Tahoma" w:hAnsi="Tahoma" w:hint="cs"/>
          <w:rtl/>
        </w:rPr>
        <w:t xml:space="preserve">כל </w:t>
      </w:r>
      <w:r w:rsidR="00382FB6">
        <w:rPr>
          <w:rFonts w:ascii="Tahoma" w:hAnsi="Tahoma" w:hint="cs"/>
          <w:rtl/>
        </w:rPr>
        <w:t xml:space="preserve">זאת בהתאם </w:t>
      </w:r>
      <w:r w:rsidR="00382FB6" w:rsidRPr="00382FB6">
        <w:rPr>
          <w:rFonts w:ascii="Tahoma" w:hAnsi="Tahoma"/>
          <w:rtl/>
        </w:rPr>
        <w:t>למבחן ה</w:t>
      </w:r>
      <w:r w:rsidR="00382FB6">
        <w:rPr>
          <w:rFonts w:ascii="Tahoma" w:hAnsi="Tahoma" w:hint="cs"/>
          <w:rtl/>
        </w:rPr>
        <w:t>"</w:t>
      </w:r>
      <w:r w:rsidR="00382FB6" w:rsidRPr="00382FB6">
        <w:rPr>
          <w:rFonts w:ascii="Tahoma" w:hAnsi="Tahoma"/>
          <w:rtl/>
        </w:rPr>
        <w:t>קשר ההדוק</w:t>
      </w:r>
      <w:r w:rsidR="00382FB6">
        <w:rPr>
          <w:rFonts w:ascii="Tahoma" w:hAnsi="Tahoma" w:hint="cs"/>
          <w:rtl/>
        </w:rPr>
        <w:t>"</w:t>
      </w:r>
      <w:r w:rsidR="00772F9D">
        <w:rPr>
          <w:rFonts w:ascii="Tahoma" w:hAnsi="Tahoma" w:hint="cs"/>
          <w:rtl/>
        </w:rPr>
        <w:t>, כפי ש</w:t>
      </w:r>
      <w:r w:rsidR="00382FB6" w:rsidRPr="00382FB6">
        <w:rPr>
          <w:rFonts w:ascii="Tahoma" w:hAnsi="Tahoma"/>
          <w:rtl/>
        </w:rPr>
        <w:t xml:space="preserve">נקבע בהלכת ע"פ 4910/13 </w:t>
      </w:r>
      <w:r w:rsidR="00382FB6" w:rsidRPr="00382FB6">
        <w:rPr>
          <w:rFonts w:ascii="Tahoma" w:hAnsi="Tahoma"/>
          <w:b/>
          <w:bCs/>
          <w:rtl/>
        </w:rPr>
        <w:t>ג'אבר נ' מדינת ישראל</w:t>
      </w:r>
      <w:r w:rsidR="00382FB6" w:rsidRPr="00382FB6">
        <w:rPr>
          <w:rFonts w:ascii="Tahoma" w:hAnsi="Tahoma"/>
          <w:rtl/>
        </w:rPr>
        <w:t xml:space="preserve"> (29.10.2014).</w:t>
      </w:r>
    </w:p>
    <w:p w:rsidR="00E9162E" w:rsidRPr="00E9162E" w:rsidRDefault="00772F9D" w:rsidP="00772F9D">
      <w:pPr>
        <w:numPr>
          <w:ilvl w:val="0"/>
          <w:numId w:val="4"/>
        </w:numPr>
        <w:spacing w:after="120" w:line="360" w:lineRule="auto"/>
        <w:ind w:left="360"/>
        <w:jc w:val="both"/>
        <w:rPr>
          <w:rFonts w:ascii="Tahoma" w:hAnsi="Tahoma"/>
        </w:rPr>
      </w:pPr>
      <w:r>
        <w:rPr>
          <w:rFonts w:hint="cs"/>
          <w:rtl/>
        </w:rPr>
        <w:t>לעניין ה</w:t>
      </w:r>
      <w:r w:rsidR="005D468B">
        <w:rPr>
          <w:rFonts w:hint="cs"/>
          <w:rtl/>
        </w:rPr>
        <w:t>ערכים החברתיים, שנפגעו כתולדה מביצוע העבירות על ידי הנאשם, מקובל עליי טיעון ב"</w:t>
      </w:r>
      <w:r w:rsidR="00654D5B">
        <w:rPr>
          <w:rFonts w:hint="cs"/>
          <w:rtl/>
        </w:rPr>
        <w:t>כ המאשימה</w:t>
      </w:r>
      <w:r w:rsidR="005D468B">
        <w:rPr>
          <w:rFonts w:hint="cs"/>
          <w:rtl/>
        </w:rPr>
        <w:t>. אשר לאישום הראשון, חומרתן הרבה של עבירות המין ברורה וידועה, ופגיעתן בכבוד האדם ובאוטונומיה של הפרט מרובה. אשר לאישום השני, כאשר עסקינן בתקי</w:t>
      </w:r>
      <w:r w:rsidR="000E77DA">
        <w:rPr>
          <w:rFonts w:hint="cs"/>
          <w:rtl/>
        </w:rPr>
        <w:t>פת שוטר הפגיעה היא לא רק בשוטר כ</w:t>
      </w:r>
      <w:r w:rsidR="00E9162E">
        <w:rPr>
          <w:rFonts w:hint="cs"/>
          <w:rtl/>
        </w:rPr>
        <w:t>אדם אלא גם בסדרי השלטון והמשפט.</w:t>
      </w:r>
      <w:r w:rsidR="00E9162E">
        <w:rPr>
          <w:rFonts w:ascii="Tahoma" w:hAnsi="Tahoma" w:hint="cs"/>
          <w:rtl/>
        </w:rPr>
        <w:t xml:space="preserve"> בהקשר זה, לא למותר לציין כי הוראות סעיף 273 לחוק העונשין (בעניין תקיפת שוטר) גם קובעות עונש מזערי</w:t>
      </w:r>
      <w:r w:rsidR="000E77DA">
        <w:rPr>
          <w:rFonts w:ascii="Tahoma" w:hAnsi="Tahoma" w:hint="cs"/>
          <w:rtl/>
        </w:rPr>
        <w:t>,</w:t>
      </w:r>
      <w:r w:rsidR="00E9162E">
        <w:rPr>
          <w:rFonts w:ascii="Tahoma" w:hAnsi="Tahoma" w:hint="cs"/>
          <w:rtl/>
        </w:rPr>
        <w:t xml:space="preserve"> של חודש מאסר.</w:t>
      </w:r>
    </w:p>
    <w:p w:rsidR="00E9162E" w:rsidRDefault="005D468B" w:rsidP="00772F9D">
      <w:pPr>
        <w:numPr>
          <w:ilvl w:val="0"/>
          <w:numId w:val="4"/>
        </w:numPr>
        <w:spacing w:after="120" w:line="360" w:lineRule="auto"/>
        <w:ind w:left="360"/>
        <w:jc w:val="both"/>
        <w:rPr>
          <w:rFonts w:ascii="Tahoma" w:hAnsi="Tahoma"/>
        </w:rPr>
      </w:pPr>
      <w:r>
        <w:rPr>
          <w:rFonts w:hint="cs"/>
          <w:rtl/>
        </w:rPr>
        <w:t xml:space="preserve">עם זאת, </w:t>
      </w:r>
      <w:r w:rsidR="002A2830">
        <w:rPr>
          <w:rFonts w:hint="cs"/>
          <w:rtl/>
        </w:rPr>
        <w:t xml:space="preserve">בקביעת מתחם העונש ההולם על בית המשפט להתחשב גם במדיניות הענישה הנהוגה, וטיעון ב"כ המאשימה הוא מחמיר מאוד בהתייחס למדיניות זו; גם כהשתקפותה </w:t>
      </w:r>
      <w:r w:rsidR="007370C1">
        <w:rPr>
          <w:rFonts w:hint="cs"/>
          <w:rtl/>
        </w:rPr>
        <w:t>בפסיקה אליה היא-עצמה הפנת</w:t>
      </w:r>
      <w:r w:rsidR="00E9162E">
        <w:rPr>
          <w:rFonts w:hint="cs"/>
          <w:rtl/>
        </w:rPr>
        <w:t>ה</w:t>
      </w:r>
      <w:r w:rsidR="000E77DA">
        <w:rPr>
          <w:rFonts w:hint="cs"/>
          <w:rtl/>
        </w:rPr>
        <w:t xml:space="preserve"> כמפורט לעיל</w:t>
      </w:r>
      <w:r w:rsidR="00E9162E">
        <w:rPr>
          <w:rFonts w:hint="cs"/>
          <w:rtl/>
        </w:rPr>
        <w:t xml:space="preserve">. </w:t>
      </w:r>
      <w:r w:rsidR="00E9162E">
        <w:rPr>
          <w:rFonts w:ascii="Tahoma" w:hAnsi="Tahoma" w:hint="cs"/>
          <w:rtl/>
        </w:rPr>
        <w:t xml:space="preserve">בהקשר זה יש לציין כי האירוע מושא הראשון אמנם אירע בסמוך לדירתה-מבצרה של המתלוננת, </w:t>
      </w:r>
      <w:r w:rsidR="00553D0A">
        <w:rPr>
          <w:rFonts w:ascii="Tahoma" w:hAnsi="Tahoma" w:hint="cs"/>
          <w:rtl/>
        </w:rPr>
        <w:t xml:space="preserve">כאשר הנאשם </w:t>
      </w:r>
      <w:r w:rsidR="000E77DA">
        <w:rPr>
          <w:rFonts w:ascii="Tahoma" w:hAnsi="Tahoma" w:hint="cs"/>
          <w:rtl/>
        </w:rPr>
        <w:t xml:space="preserve">אף </w:t>
      </w:r>
      <w:r w:rsidR="00553D0A">
        <w:rPr>
          <w:rFonts w:ascii="Tahoma" w:hAnsi="Tahoma" w:hint="cs"/>
          <w:rtl/>
        </w:rPr>
        <w:t xml:space="preserve">המשיך במעשיו </w:t>
      </w:r>
      <w:r w:rsidR="000E77DA">
        <w:rPr>
          <w:rFonts w:ascii="Tahoma" w:hAnsi="Tahoma" w:hint="cs"/>
          <w:rtl/>
        </w:rPr>
        <w:t xml:space="preserve">חרף </w:t>
      </w:r>
      <w:r w:rsidR="00553D0A">
        <w:rPr>
          <w:rFonts w:ascii="Tahoma" w:hAnsi="Tahoma" w:hint="cs"/>
          <w:rtl/>
        </w:rPr>
        <w:t xml:space="preserve">התנגדות המתלוננת, </w:t>
      </w:r>
      <w:r w:rsidR="00E9162E">
        <w:rPr>
          <w:rFonts w:ascii="Tahoma" w:hAnsi="Tahoma" w:hint="cs"/>
          <w:rtl/>
        </w:rPr>
        <w:t xml:space="preserve">אך דובר בנגיעות </w:t>
      </w:r>
      <w:r w:rsidR="00553D0A">
        <w:rPr>
          <w:rFonts w:ascii="Tahoma" w:hAnsi="Tahoma" w:hint="cs"/>
          <w:rtl/>
        </w:rPr>
        <w:t>ש</w:t>
      </w:r>
      <w:r w:rsidR="00E9162E">
        <w:rPr>
          <w:rFonts w:ascii="Tahoma" w:hAnsi="Tahoma" w:hint="cs"/>
          <w:rtl/>
        </w:rPr>
        <w:t>מעל הבגדים. אשר לאירוע מושא האישום השני, יש מקום להתחשב</w:t>
      </w:r>
      <w:r w:rsidR="000E77DA">
        <w:rPr>
          <w:rFonts w:ascii="Tahoma" w:hAnsi="Tahoma" w:hint="cs"/>
          <w:rtl/>
        </w:rPr>
        <w:t>ות</w:t>
      </w:r>
      <w:r w:rsidR="00E9162E">
        <w:rPr>
          <w:rFonts w:ascii="Tahoma" w:hAnsi="Tahoma" w:hint="cs"/>
          <w:rtl/>
        </w:rPr>
        <w:t xml:space="preserve"> בכך שהנאשם הוא </w:t>
      </w:r>
      <w:r w:rsidR="00772F9D">
        <w:rPr>
          <w:rFonts w:ascii="Tahoma" w:hAnsi="Tahoma" w:hint="cs"/>
          <w:rtl/>
        </w:rPr>
        <w:t xml:space="preserve">כאמור </w:t>
      </w:r>
      <w:r w:rsidR="00E9162E">
        <w:rPr>
          <w:rFonts w:ascii="Tahoma" w:hAnsi="Tahoma" w:hint="cs"/>
          <w:rtl/>
        </w:rPr>
        <w:t>אזרח זר</w:t>
      </w:r>
      <w:r w:rsidR="00553D0A">
        <w:rPr>
          <w:rFonts w:ascii="Tahoma" w:hAnsi="Tahoma" w:hint="cs"/>
          <w:rtl/>
        </w:rPr>
        <w:t xml:space="preserve"> מהודו</w:t>
      </w:r>
      <w:r w:rsidR="00E9162E">
        <w:rPr>
          <w:rFonts w:ascii="Tahoma" w:hAnsi="Tahoma" w:hint="cs"/>
          <w:rtl/>
        </w:rPr>
        <w:t xml:space="preserve">, שאינו דובר </w:t>
      </w:r>
      <w:r w:rsidR="00772F9D">
        <w:rPr>
          <w:rFonts w:ascii="Tahoma" w:hAnsi="Tahoma" w:hint="cs"/>
          <w:rtl/>
        </w:rPr>
        <w:t>את השפה ה</w:t>
      </w:r>
      <w:r w:rsidR="00E9162E">
        <w:rPr>
          <w:rFonts w:ascii="Tahoma" w:hAnsi="Tahoma" w:hint="cs"/>
          <w:rtl/>
        </w:rPr>
        <w:t xml:space="preserve">עברית, על כל </w:t>
      </w:r>
      <w:r w:rsidR="00772F9D">
        <w:rPr>
          <w:rFonts w:ascii="Tahoma" w:hAnsi="Tahoma" w:hint="cs"/>
          <w:rtl/>
        </w:rPr>
        <w:t xml:space="preserve">ההיבטים </w:t>
      </w:r>
      <w:r w:rsidR="00E9162E">
        <w:rPr>
          <w:rFonts w:ascii="Tahoma" w:hAnsi="Tahoma" w:hint="cs"/>
          <w:rtl/>
        </w:rPr>
        <w:t>הנובעים מכך.</w:t>
      </w:r>
    </w:p>
    <w:p w:rsidR="00DA1B9D" w:rsidRPr="004A37F4" w:rsidRDefault="003F1359" w:rsidP="004A37F4">
      <w:pPr>
        <w:numPr>
          <w:ilvl w:val="0"/>
          <w:numId w:val="4"/>
        </w:numPr>
        <w:spacing w:after="120" w:line="360" w:lineRule="auto"/>
        <w:ind w:left="360"/>
        <w:jc w:val="both"/>
        <w:rPr>
          <w:rFonts w:ascii="Tahoma" w:hAnsi="Tahoma"/>
        </w:rPr>
      </w:pPr>
      <w:r>
        <w:rPr>
          <w:rFonts w:hint="cs"/>
          <w:rtl/>
        </w:rPr>
        <w:t xml:space="preserve">על רקע כל אלה </w:t>
      </w:r>
      <w:r w:rsidR="00DA1B9D">
        <w:rPr>
          <w:rFonts w:hint="cs"/>
          <w:rtl/>
        </w:rPr>
        <w:t xml:space="preserve">אני קובע את </w:t>
      </w:r>
      <w:r>
        <w:rPr>
          <w:rFonts w:hint="cs"/>
          <w:rtl/>
        </w:rPr>
        <w:t>מתחמי</w:t>
      </w:r>
      <w:r w:rsidR="00DA1B9D">
        <w:rPr>
          <w:rFonts w:hint="cs"/>
          <w:rtl/>
        </w:rPr>
        <w:t xml:space="preserve"> העונש ההול</w:t>
      </w:r>
      <w:r>
        <w:rPr>
          <w:rFonts w:hint="cs"/>
          <w:rtl/>
        </w:rPr>
        <w:t>מי</w:t>
      </w:r>
      <w:r w:rsidR="00DA1B9D">
        <w:rPr>
          <w:rFonts w:hint="cs"/>
          <w:rtl/>
        </w:rPr>
        <w:t xml:space="preserve">ם, במקרה זה, </w:t>
      </w:r>
      <w:r>
        <w:rPr>
          <w:rFonts w:hint="cs"/>
          <w:rtl/>
        </w:rPr>
        <w:t>כלהלן: ב</w:t>
      </w:r>
      <w:r w:rsidRPr="000E77DA">
        <w:rPr>
          <w:rFonts w:hint="cs"/>
          <w:b/>
          <w:bCs/>
          <w:rtl/>
        </w:rPr>
        <w:t xml:space="preserve">אישום הראשון </w:t>
      </w:r>
      <w:r w:rsidRPr="000E77DA">
        <w:rPr>
          <w:b/>
          <w:bCs/>
          <w:rtl/>
        </w:rPr>
        <w:t>–</w:t>
      </w:r>
      <w:r>
        <w:rPr>
          <w:rFonts w:hint="cs"/>
          <w:rtl/>
        </w:rPr>
        <w:t xml:space="preserve"> בין 5</w:t>
      </w:r>
      <w:r w:rsidR="00DA1B9D">
        <w:rPr>
          <w:rFonts w:hint="cs"/>
          <w:rtl/>
        </w:rPr>
        <w:t xml:space="preserve"> חודשי מאסר בפועל לבין </w:t>
      </w:r>
      <w:r>
        <w:rPr>
          <w:rFonts w:hint="cs"/>
          <w:rtl/>
        </w:rPr>
        <w:t>15</w:t>
      </w:r>
      <w:r w:rsidR="00DA1B9D">
        <w:rPr>
          <w:rFonts w:hint="cs"/>
          <w:rtl/>
        </w:rPr>
        <w:t xml:space="preserve"> חודשי מאסר בפועל</w:t>
      </w:r>
      <w:r>
        <w:rPr>
          <w:rFonts w:hint="cs"/>
          <w:rtl/>
        </w:rPr>
        <w:t>;</w:t>
      </w:r>
      <w:r w:rsidRPr="003F1359">
        <w:rPr>
          <w:rFonts w:hint="cs"/>
          <w:rtl/>
        </w:rPr>
        <w:t xml:space="preserve"> </w:t>
      </w:r>
      <w:r>
        <w:rPr>
          <w:rFonts w:hint="cs"/>
          <w:rtl/>
        </w:rPr>
        <w:t>ב</w:t>
      </w:r>
      <w:r w:rsidRPr="000E77DA">
        <w:rPr>
          <w:rFonts w:hint="cs"/>
          <w:b/>
          <w:bCs/>
          <w:rtl/>
        </w:rPr>
        <w:t xml:space="preserve">אישום השני </w:t>
      </w:r>
      <w:r w:rsidRPr="000E77DA">
        <w:rPr>
          <w:b/>
          <w:bCs/>
          <w:rtl/>
        </w:rPr>
        <w:t>–</w:t>
      </w:r>
      <w:r>
        <w:rPr>
          <w:rFonts w:hint="cs"/>
          <w:rtl/>
        </w:rPr>
        <w:t xml:space="preserve"> בין 3 חודשי מאסר בפועל לבין 12 חודשי מאסר בפועל.</w:t>
      </w:r>
    </w:p>
    <w:p w:rsidR="00DA1B9D" w:rsidRDefault="00DA1B9D" w:rsidP="0072704B">
      <w:pPr>
        <w:spacing w:after="120" w:line="360" w:lineRule="auto"/>
        <w:jc w:val="both"/>
        <w:rPr>
          <w:rFonts w:ascii="Tahoma" w:hAnsi="Tahoma"/>
          <w:rtl/>
        </w:rPr>
      </w:pPr>
    </w:p>
    <w:p w:rsidR="00DA1B9D" w:rsidRDefault="004A37F4" w:rsidP="00DA1B9D">
      <w:pPr>
        <w:pStyle w:val="ab"/>
        <w:numPr>
          <w:ilvl w:val="0"/>
          <w:numId w:val="3"/>
        </w:numPr>
        <w:spacing w:after="120" w:line="360" w:lineRule="auto"/>
        <w:ind w:left="360"/>
        <w:jc w:val="both"/>
        <w:rPr>
          <w:rFonts w:ascii="Tahoma" w:hAnsi="Tahoma"/>
          <w:b/>
          <w:bCs/>
          <w:u w:val="single"/>
          <w:rtl/>
        </w:rPr>
      </w:pPr>
      <w:r>
        <w:rPr>
          <w:rFonts w:hint="cs"/>
          <w:b/>
          <w:bCs/>
          <w:u w:val="single"/>
          <w:rtl/>
        </w:rPr>
        <w:lastRenderedPageBreak/>
        <w:t>גזירת עונשו של הנאשם בתוך מתחמי</w:t>
      </w:r>
      <w:r w:rsidR="00DA1B9D" w:rsidRPr="00CE1F20">
        <w:rPr>
          <w:rFonts w:hint="cs"/>
          <w:b/>
          <w:bCs/>
          <w:u w:val="single"/>
          <w:rtl/>
        </w:rPr>
        <w:t xml:space="preserve"> העונש ההול</w:t>
      </w:r>
      <w:r>
        <w:rPr>
          <w:rFonts w:hint="cs"/>
          <w:b/>
          <w:bCs/>
          <w:u w:val="single"/>
          <w:rtl/>
        </w:rPr>
        <w:t>מי</w:t>
      </w:r>
      <w:r w:rsidR="00DA1B9D" w:rsidRPr="00CE1F20">
        <w:rPr>
          <w:rFonts w:hint="cs"/>
          <w:b/>
          <w:bCs/>
          <w:u w:val="single"/>
          <w:rtl/>
        </w:rPr>
        <w:t>ם:</w:t>
      </w:r>
    </w:p>
    <w:p w:rsidR="00DA1B9D" w:rsidRDefault="004A37F4" w:rsidP="004A37F4">
      <w:pPr>
        <w:numPr>
          <w:ilvl w:val="0"/>
          <w:numId w:val="4"/>
        </w:numPr>
        <w:spacing w:after="120" w:line="360" w:lineRule="auto"/>
        <w:ind w:left="360"/>
        <w:jc w:val="both"/>
        <w:rPr>
          <w:rFonts w:ascii="Tahoma" w:hAnsi="Tahoma"/>
        </w:rPr>
      </w:pPr>
      <w:r>
        <w:rPr>
          <w:rFonts w:hint="cs"/>
          <w:rtl/>
        </w:rPr>
        <w:t>לאחר קביעת מתחמי</w:t>
      </w:r>
      <w:r w:rsidR="00DA1B9D">
        <w:rPr>
          <w:rFonts w:hint="cs"/>
          <w:rtl/>
        </w:rPr>
        <w:t xml:space="preserve"> העונש ההול</w:t>
      </w:r>
      <w:r>
        <w:rPr>
          <w:rFonts w:hint="cs"/>
          <w:rtl/>
        </w:rPr>
        <w:t>מי</w:t>
      </w:r>
      <w:r w:rsidR="00DA1B9D">
        <w:rPr>
          <w:rFonts w:hint="cs"/>
          <w:rtl/>
        </w:rPr>
        <w:t>ם על בית המשפט לגזור את עונשו של הנאשם בתוך מתח</w:t>
      </w:r>
      <w:r>
        <w:rPr>
          <w:rFonts w:hint="cs"/>
          <w:rtl/>
        </w:rPr>
        <w:t>מי</w:t>
      </w:r>
      <w:r w:rsidR="00DA1B9D">
        <w:rPr>
          <w:rFonts w:hint="cs"/>
          <w:rtl/>
        </w:rPr>
        <w:t xml:space="preserve">ם </w:t>
      </w:r>
      <w:r>
        <w:rPr>
          <w:rFonts w:hint="cs"/>
          <w:rtl/>
        </w:rPr>
        <w:t>אל</w:t>
      </w:r>
      <w:r w:rsidR="00DA1B9D">
        <w:rPr>
          <w:rFonts w:hint="cs"/>
          <w:rtl/>
        </w:rPr>
        <w:t xml:space="preserve">ה </w:t>
      </w:r>
      <w:r w:rsidR="00DA1B9D">
        <w:rPr>
          <w:rtl/>
        </w:rPr>
        <w:t>–</w:t>
      </w:r>
      <w:r w:rsidR="00DA1B9D">
        <w:rPr>
          <w:rFonts w:hint="cs"/>
          <w:rtl/>
        </w:rPr>
        <w:t xml:space="preserve"> למעט במקרים יוצאי דופן, בהם הוא רשאי לחרוג מכך, שאין עניינם לכאן </w:t>
      </w:r>
      <w:r w:rsidR="00DA1B9D">
        <w:rPr>
          <w:rtl/>
        </w:rPr>
        <w:t>–</w:t>
      </w:r>
      <w:r w:rsidR="00DA1B9D">
        <w:rPr>
          <w:rFonts w:hint="cs"/>
          <w:rtl/>
        </w:rPr>
        <w:t xml:space="preserve"> תוך התחשבות בנסיבות שאינן קשורות בביצוע העבירות</w:t>
      </w:r>
      <w:r w:rsidR="00772F9D">
        <w:rPr>
          <w:rFonts w:hint="cs"/>
          <w:rtl/>
        </w:rPr>
        <w:t>;</w:t>
      </w:r>
      <w:r>
        <w:rPr>
          <w:rFonts w:hint="cs"/>
          <w:rtl/>
        </w:rPr>
        <w:t xml:space="preserve"> לרבות אלה המנויות בהוראות סעיף 40יא לחוק העונשין</w:t>
      </w:r>
      <w:r w:rsidR="00DA1B9D">
        <w:rPr>
          <w:rFonts w:hint="cs"/>
          <w:rtl/>
        </w:rPr>
        <w:t>.</w:t>
      </w:r>
    </w:p>
    <w:p w:rsidR="00DA1B9D" w:rsidRPr="00014B6B" w:rsidRDefault="00DA1B9D" w:rsidP="00DA1B9D">
      <w:pPr>
        <w:numPr>
          <w:ilvl w:val="0"/>
          <w:numId w:val="4"/>
        </w:numPr>
        <w:spacing w:after="120" w:line="360" w:lineRule="auto"/>
        <w:ind w:left="360"/>
        <w:jc w:val="both"/>
        <w:rPr>
          <w:rFonts w:ascii="Tahoma" w:hAnsi="Tahoma"/>
        </w:rPr>
      </w:pPr>
      <w:r>
        <w:rPr>
          <w:rFonts w:hint="cs"/>
          <w:rtl/>
        </w:rPr>
        <w:t>אשר לנאשם שלפניי, השיקולים הרלוואנטיים לגזירת עונשו הם כלהלן:</w:t>
      </w:r>
    </w:p>
    <w:p w:rsidR="004A37F4" w:rsidRDefault="00DA1B9D" w:rsidP="00014B6B">
      <w:pPr>
        <w:snapToGrid w:val="0"/>
        <w:spacing w:after="120" w:line="360" w:lineRule="auto"/>
        <w:ind w:left="720"/>
        <w:jc w:val="both"/>
        <w:rPr>
          <w:rtl/>
        </w:rPr>
      </w:pPr>
      <w:r w:rsidRPr="00627467">
        <w:rPr>
          <w:rFonts w:hint="cs"/>
          <w:b/>
          <w:bCs/>
          <w:rtl/>
        </w:rPr>
        <w:t xml:space="preserve">עברו הפלילי של הנאשם </w:t>
      </w:r>
      <w:r w:rsidRPr="00627467">
        <w:rPr>
          <w:b/>
          <w:bCs/>
          <w:rtl/>
        </w:rPr>
        <w:t>–</w:t>
      </w:r>
      <w:r w:rsidRPr="00627467">
        <w:rPr>
          <w:rFonts w:hint="cs"/>
          <w:b/>
          <w:bCs/>
          <w:rtl/>
        </w:rPr>
        <w:t xml:space="preserve"> </w:t>
      </w:r>
      <w:r>
        <w:rPr>
          <w:rFonts w:hint="cs"/>
          <w:rtl/>
        </w:rPr>
        <w:t>לנאשם</w:t>
      </w:r>
      <w:r w:rsidR="004A37F4">
        <w:rPr>
          <w:rFonts w:hint="cs"/>
          <w:rtl/>
        </w:rPr>
        <w:t>, יליד שנת 1990 (בן 33 שנים כיום), אין כל הרשעות קודמות. מדובר, כמובן, בנסיבה מהותית לקולת העונש.</w:t>
      </w:r>
    </w:p>
    <w:p w:rsidR="00DA1B9D" w:rsidRDefault="00DA1B9D" w:rsidP="00014B6B">
      <w:pPr>
        <w:snapToGrid w:val="0"/>
        <w:spacing w:after="120" w:line="360" w:lineRule="auto"/>
        <w:ind w:left="720"/>
        <w:jc w:val="both"/>
        <w:rPr>
          <w:rtl/>
        </w:rPr>
      </w:pPr>
      <w:r w:rsidRPr="0047118D">
        <w:rPr>
          <w:rFonts w:hint="cs"/>
          <w:b/>
          <w:bCs/>
          <w:rtl/>
        </w:rPr>
        <w:t>הפגיעה של העונש בנאשם ובמשפחתו –</w:t>
      </w:r>
      <w:r w:rsidRPr="0047118D">
        <w:rPr>
          <w:rFonts w:hint="cs"/>
          <w:rtl/>
        </w:rPr>
        <w:t xml:space="preserve"> הטלת עונש של מאסר בפועל תפגע הן בנאשם והן במשפחתו</w:t>
      </w:r>
      <w:r w:rsidR="004A37F4">
        <w:rPr>
          <w:rFonts w:hint="cs"/>
          <w:rtl/>
        </w:rPr>
        <w:t>, במיוחד בהתחשב בכך שמדובר באזרח זר שאינו שולט בשפה העברית.</w:t>
      </w:r>
    </w:p>
    <w:p w:rsidR="004F77A7" w:rsidRDefault="00DA1B9D" w:rsidP="00912851">
      <w:pPr>
        <w:snapToGrid w:val="0"/>
        <w:spacing w:after="120" w:line="360" w:lineRule="auto"/>
        <w:ind w:left="720"/>
        <w:jc w:val="both"/>
        <w:rPr>
          <w:rtl/>
        </w:rPr>
      </w:pPr>
      <w:r w:rsidRPr="00627467">
        <w:rPr>
          <w:rFonts w:hint="cs"/>
          <w:b/>
          <w:bCs/>
          <w:rtl/>
        </w:rPr>
        <w:t xml:space="preserve">הודאה ונטילת אחריות </w:t>
      </w:r>
      <w:r>
        <w:rPr>
          <w:rtl/>
        </w:rPr>
        <w:t>–</w:t>
      </w:r>
      <w:r>
        <w:rPr>
          <w:rFonts w:hint="cs"/>
          <w:rtl/>
        </w:rPr>
        <w:t xml:space="preserve"> הנאשם הודה בעובדות כתב האישום המתוקן. בכך חסך הנאשם מזמנם של העדים, הצדדים ובית המשפט. נסיבות אלה</w:t>
      </w:r>
      <w:r w:rsidR="004F77A7">
        <w:rPr>
          <w:rFonts w:hint="cs"/>
          <w:rtl/>
        </w:rPr>
        <w:t xml:space="preserve"> יש כמובן </w:t>
      </w:r>
      <w:r>
        <w:rPr>
          <w:rFonts w:hint="cs"/>
          <w:rtl/>
        </w:rPr>
        <w:t>לזקוף לזכותו של הנאשם.</w:t>
      </w:r>
      <w:r w:rsidR="004F77A7">
        <w:rPr>
          <w:rFonts w:hint="cs"/>
          <w:rtl/>
        </w:rPr>
        <w:t xml:space="preserve"> עם זאת, על נטילת האחריות מעיבה העובדה שהנאשם ניסה להימלט מהארץ </w:t>
      </w:r>
      <w:r w:rsidR="004F77A7">
        <w:rPr>
          <w:rtl/>
        </w:rPr>
        <w:t>–</w:t>
      </w:r>
      <w:r w:rsidR="004F77A7">
        <w:rPr>
          <w:rFonts w:hint="cs"/>
          <w:rtl/>
        </w:rPr>
        <w:t xml:space="preserve"> ו</w:t>
      </w:r>
      <w:r w:rsidR="00912851">
        <w:rPr>
          <w:rFonts w:hint="cs"/>
          <w:rtl/>
        </w:rPr>
        <w:t>ממילא</w:t>
      </w:r>
      <w:r w:rsidR="004F77A7">
        <w:rPr>
          <w:rFonts w:hint="cs"/>
          <w:rtl/>
        </w:rPr>
        <w:t xml:space="preserve">, להימלט מן הדין </w:t>
      </w:r>
      <w:r w:rsidR="004F77A7">
        <w:rPr>
          <w:rtl/>
        </w:rPr>
        <w:t>–</w:t>
      </w:r>
      <w:r w:rsidR="004F77A7">
        <w:rPr>
          <w:rFonts w:hint="cs"/>
          <w:rtl/>
        </w:rPr>
        <w:t xml:space="preserve"> בעת שהיה משוחרר בערובה ובתנאים בגין תיק זה.</w:t>
      </w:r>
    </w:p>
    <w:p w:rsidR="004F77A7" w:rsidRPr="004F77A7" w:rsidRDefault="00DA1B9D" w:rsidP="00014B6B">
      <w:pPr>
        <w:snapToGrid w:val="0"/>
        <w:spacing w:after="120" w:line="360" w:lineRule="auto"/>
        <w:ind w:left="720"/>
        <w:jc w:val="both"/>
        <w:rPr>
          <w:rtl/>
        </w:rPr>
      </w:pPr>
      <w:r>
        <w:rPr>
          <w:rFonts w:hint="cs"/>
          <w:b/>
          <w:bCs/>
          <w:rtl/>
        </w:rPr>
        <w:t xml:space="preserve">מאמצי הנאשם לתיקון תוצאות העבירות ולפיצוי על הנזק שנגרם בעטיין </w:t>
      </w:r>
      <w:r w:rsidRPr="004F77A7">
        <w:rPr>
          <w:rFonts w:hint="cs"/>
          <w:rtl/>
        </w:rPr>
        <w:t>–</w:t>
      </w:r>
      <w:r w:rsidR="004F77A7" w:rsidRPr="004F77A7">
        <w:rPr>
          <w:rFonts w:hint="cs"/>
          <w:rtl/>
        </w:rPr>
        <w:t xml:space="preserve"> הנאשם לא פיצה את המתלוננת ולא עשה מאומה בהקשר זה.</w:t>
      </w:r>
    </w:p>
    <w:p w:rsidR="00912851" w:rsidRDefault="00DA1B9D" w:rsidP="000E77DA">
      <w:pPr>
        <w:numPr>
          <w:ilvl w:val="0"/>
          <w:numId w:val="4"/>
        </w:numPr>
        <w:spacing w:after="120" w:line="360" w:lineRule="auto"/>
        <w:ind w:left="360"/>
        <w:jc w:val="both"/>
        <w:rPr>
          <w:rFonts w:ascii="Tahoma" w:hAnsi="Tahoma"/>
        </w:rPr>
      </w:pPr>
      <w:r>
        <w:rPr>
          <w:rFonts w:hint="cs"/>
          <w:rtl/>
        </w:rPr>
        <w:t xml:space="preserve">המסקנה המתבקשת ממכלול הנסיבות והשיקולים שפורטו לעיל </w:t>
      </w:r>
      <w:r w:rsidR="000E77DA">
        <w:rPr>
          <w:rFonts w:hint="cs"/>
          <w:rtl/>
        </w:rPr>
        <w:t xml:space="preserve">היא </w:t>
      </w:r>
      <w:r>
        <w:rPr>
          <w:rFonts w:hint="cs"/>
          <w:rtl/>
        </w:rPr>
        <w:t xml:space="preserve">כי במקרה זה נסיבות הקולה עולות </w:t>
      </w:r>
      <w:r w:rsidR="004F77A7">
        <w:rPr>
          <w:rFonts w:hint="cs"/>
          <w:rtl/>
        </w:rPr>
        <w:t xml:space="preserve">במידת מה </w:t>
      </w:r>
      <w:r>
        <w:rPr>
          <w:rFonts w:hint="cs"/>
          <w:rtl/>
        </w:rPr>
        <w:t>במשקלן על נסיבות החומרה</w:t>
      </w:r>
      <w:r w:rsidR="004F77A7">
        <w:rPr>
          <w:rFonts w:hint="cs"/>
          <w:rtl/>
        </w:rPr>
        <w:t>;</w:t>
      </w:r>
      <w:r w:rsidRPr="00014B6B">
        <w:rPr>
          <w:rFonts w:ascii="Tahoma" w:hAnsi="Tahoma" w:hint="cs"/>
          <w:rtl/>
        </w:rPr>
        <w:t xml:space="preserve"> </w:t>
      </w:r>
      <w:r>
        <w:rPr>
          <w:rFonts w:ascii="Tahoma" w:hAnsi="Tahoma" w:hint="cs"/>
          <w:rtl/>
        </w:rPr>
        <w:t>באופן ש</w:t>
      </w:r>
      <w:r w:rsidRPr="00014B6B">
        <w:rPr>
          <w:rFonts w:ascii="Tahoma" w:hAnsi="Tahoma" w:hint="cs"/>
          <w:rtl/>
        </w:rPr>
        <w:t>יש לגזור את עונשו ש</w:t>
      </w:r>
      <w:r>
        <w:rPr>
          <w:rFonts w:ascii="Tahoma" w:hAnsi="Tahoma" w:hint="cs"/>
          <w:rtl/>
        </w:rPr>
        <w:t>ל הנאשם</w:t>
      </w:r>
      <w:r w:rsidR="00912851">
        <w:rPr>
          <w:rFonts w:ascii="Tahoma" w:hAnsi="Tahoma" w:hint="cs"/>
          <w:rtl/>
        </w:rPr>
        <w:t>, כטיעון המאשימה,</w:t>
      </w:r>
      <w:r>
        <w:rPr>
          <w:rFonts w:ascii="Tahoma" w:hAnsi="Tahoma" w:hint="cs"/>
          <w:rtl/>
        </w:rPr>
        <w:t xml:space="preserve"> ב</w:t>
      </w:r>
      <w:r w:rsidR="00912851">
        <w:rPr>
          <w:rFonts w:ascii="Tahoma" w:hAnsi="Tahoma" w:hint="cs"/>
          <w:rtl/>
        </w:rPr>
        <w:t>רף העליון של ה</w:t>
      </w:r>
      <w:r w:rsidR="004F77A7">
        <w:rPr>
          <w:rFonts w:ascii="Tahoma" w:hAnsi="Tahoma" w:hint="cs"/>
          <w:rtl/>
        </w:rPr>
        <w:t xml:space="preserve">שליש התחתון </w:t>
      </w:r>
      <w:r w:rsidRPr="00014B6B">
        <w:rPr>
          <w:rFonts w:ascii="Tahoma" w:hAnsi="Tahoma" w:hint="cs"/>
          <w:rtl/>
        </w:rPr>
        <w:t>של</w:t>
      </w:r>
      <w:r>
        <w:rPr>
          <w:rFonts w:ascii="Tahoma" w:hAnsi="Tahoma" w:hint="cs"/>
          <w:rtl/>
        </w:rPr>
        <w:t xml:space="preserve"> מתחם העונש ההולם.</w:t>
      </w:r>
    </w:p>
    <w:p w:rsidR="00DA1B9D" w:rsidRDefault="003659E3" w:rsidP="000E77DA">
      <w:pPr>
        <w:numPr>
          <w:ilvl w:val="0"/>
          <w:numId w:val="4"/>
        </w:numPr>
        <w:spacing w:after="120" w:line="360" w:lineRule="auto"/>
        <w:ind w:left="360"/>
        <w:jc w:val="both"/>
        <w:rPr>
          <w:rFonts w:ascii="Tahoma" w:hAnsi="Tahoma"/>
        </w:rPr>
      </w:pPr>
      <w:r>
        <w:rPr>
          <w:rFonts w:ascii="Tahoma" w:hAnsi="Tahoma" w:hint="cs"/>
          <w:rtl/>
        </w:rPr>
        <w:t xml:space="preserve">מכאן, שבגין האישום הראשון יש להשית על הנאשם 8 חודשי מאסר בפועל ובגין האישום השני יש להשית על הנאשם 6 חודשי מאסר בפועל. מדובר, כאמור, בשני אירועים שונים ונפרדים, שבוצעו כנגד קורבנות שונים, אך קיימת זיקה מסוימת ביניהם. בנסיבות אלה </w:t>
      </w:r>
      <w:r>
        <w:rPr>
          <w:rFonts w:ascii="Tahoma" w:hAnsi="Tahoma"/>
          <w:rtl/>
        </w:rPr>
        <w:t>–</w:t>
      </w:r>
      <w:r>
        <w:rPr>
          <w:rFonts w:ascii="Tahoma" w:hAnsi="Tahoma" w:hint="cs"/>
          <w:rtl/>
        </w:rPr>
        <w:t xml:space="preserve"> ובהתאם להוראות סעיף 40יג(ב) וסעיף 40יג(ג) לחוק העונשין </w:t>
      </w:r>
      <w:r>
        <w:rPr>
          <w:rFonts w:ascii="Tahoma" w:hAnsi="Tahoma"/>
          <w:rtl/>
        </w:rPr>
        <w:t>–</w:t>
      </w:r>
      <w:r>
        <w:rPr>
          <w:rFonts w:ascii="Tahoma" w:hAnsi="Tahoma" w:hint="cs"/>
          <w:rtl/>
        </w:rPr>
        <w:t xml:space="preserve"> אני קובע חפיפה חלקית בין העונשים</w:t>
      </w:r>
      <w:r w:rsidR="000E77DA">
        <w:rPr>
          <w:rFonts w:ascii="Tahoma" w:hAnsi="Tahoma" w:hint="cs"/>
          <w:rtl/>
        </w:rPr>
        <w:t>;</w:t>
      </w:r>
      <w:r>
        <w:rPr>
          <w:rFonts w:ascii="Tahoma" w:hAnsi="Tahoma" w:hint="cs"/>
          <w:rtl/>
        </w:rPr>
        <w:t xml:space="preserve"> באופן שבסך הכל יישא הנאשם 12 חודשי מאסר בפועל.</w:t>
      </w:r>
    </w:p>
    <w:p w:rsidR="003659E3" w:rsidRDefault="003659E3" w:rsidP="00577311">
      <w:pPr>
        <w:numPr>
          <w:ilvl w:val="0"/>
          <w:numId w:val="4"/>
        </w:numPr>
        <w:spacing w:after="120" w:line="360" w:lineRule="auto"/>
        <w:ind w:left="360"/>
        <w:jc w:val="both"/>
        <w:rPr>
          <w:rFonts w:ascii="Tahoma" w:hAnsi="Tahoma"/>
        </w:rPr>
      </w:pPr>
      <w:r>
        <w:rPr>
          <w:rFonts w:ascii="Tahoma" w:hAnsi="Tahoma" w:hint="cs"/>
          <w:rtl/>
        </w:rPr>
        <w:t xml:space="preserve">נותר </w:t>
      </w:r>
      <w:r w:rsidR="00122E54">
        <w:rPr>
          <w:rFonts w:ascii="Tahoma" w:hAnsi="Tahoma" w:hint="cs"/>
          <w:rtl/>
        </w:rPr>
        <w:t>לדון ברכיב הפיצויים. בהקשר זה, על אף העובדה שהמתלוננת לא העידה בבית המשפט, בוודאי שניתן ונכון לקבל את הצהרתה (ע/1) בכל הקשור לתחושותיה הסובייקטיביות הקשות עקב המעשה המגונה שנעשה בה; כאשר יש להדגיש כי הפגיעות הנפשיות הנגרמות כתול</w:t>
      </w:r>
      <w:r w:rsidR="00C94210">
        <w:rPr>
          <w:rFonts w:ascii="Tahoma" w:hAnsi="Tahoma" w:hint="cs"/>
          <w:rtl/>
        </w:rPr>
        <w:t>ד</w:t>
      </w:r>
      <w:r w:rsidR="00122E54">
        <w:rPr>
          <w:rFonts w:ascii="Tahoma" w:hAnsi="Tahoma" w:hint="cs"/>
          <w:rtl/>
        </w:rPr>
        <w:t xml:space="preserve">ה מביצוע עבירות מין הן בבחינת מן המפורסמות. עם זאת, בקביעת שיעור הפיצויים יש להתחשב במדיניות הענישה הנוהגת, כמו גם ביכולותיו הכלכליות של הנאשם, שהוא כאמור </w:t>
      </w:r>
      <w:r w:rsidR="00577311">
        <w:rPr>
          <w:rFonts w:ascii="Tahoma" w:hAnsi="Tahoma" w:hint="cs"/>
          <w:rtl/>
        </w:rPr>
        <w:t xml:space="preserve">מטפל </w:t>
      </w:r>
      <w:r w:rsidR="00122E54">
        <w:rPr>
          <w:rFonts w:ascii="Tahoma" w:hAnsi="Tahoma" w:hint="cs"/>
          <w:rtl/>
        </w:rPr>
        <w:t xml:space="preserve">סיעודי </w:t>
      </w:r>
      <w:r w:rsidR="00122E54">
        <w:rPr>
          <w:rFonts w:ascii="Tahoma" w:hAnsi="Tahoma" w:hint="cs"/>
          <w:rtl/>
        </w:rPr>
        <w:lastRenderedPageBreak/>
        <w:t>ואזרח זר</w:t>
      </w:r>
      <w:r w:rsidR="00C94210">
        <w:rPr>
          <w:rFonts w:ascii="Tahoma" w:hAnsi="Tahoma" w:hint="cs"/>
          <w:rtl/>
        </w:rPr>
        <w:t xml:space="preserve"> מהודו</w:t>
      </w:r>
      <w:r w:rsidR="00122E54">
        <w:rPr>
          <w:rFonts w:ascii="Tahoma" w:hAnsi="Tahoma" w:hint="cs"/>
          <w:rtl/>
        </w:rPr>
        <w:t>. לבסוף, בהתחשב במכלול נסיבות האישום השנ</w:t>
      </w:r>
      <w:r w:rsidR="00C94210">
        <w:rPr>
          <w:rFonts w:ascii="Tahoma" w:hAnsi="Tahoma" w:hint="cs"/>
          <w:rtl/>
        </w:rPr>
        <w:t>י, אין מקום לפסיקת פיצויים ב</w:t>
      </w:r>
      <w:r w:rsidR="00912851">
        <w:rPr>
          <w:rFonts w:ascii="Tahoma" w:hAnsi="Tahoma" w:hint="cs"/>
          <w:rtl/>
        </w:rPr>
        <w:t xml:space="preserve">גין </w:t>
      </w:r>
      <w:r w:rsidR="00122E54">
        <w:rPr>
          <w:rFonts w:ascii="Tahoma" w:hAnsi="Tahoma" w:hint="cs"/>
          <w:rtl/>
        </w:rPr>
        <w:t>אישום זה.</w:t>
      </w:r>
    </w:p>
    <w:p w:rsidR="00DA1B9D" w:rsidRPr="00912851" w:rsidRDefault="00DA1B9D" w:rsidP="00985256">
      <w:pPr>
        <w:spacing w:after="120" w:line="360" w:lineRule="auto"/>
        <w:jc w:val="both"/>
        <w:rPr>
          <w:rFonts w:ascii="Tahoma" w:hAnsi="Tahoma"/>
          <w:rtl/>
        </w:rPr>
      </w:pPr>
    </w:p>
    <w:p w:rsidR="00DA1B9D" w:rsidRDefault="00DA1B9D" w:rsidP="00DA1B9D">
      <w:pPr>
        <w:pStyle w:val="ab"/>
        <w:numPr>
          <w:ilvl w:val="0"/>
          <w:numId w:val="3"/>
        </w:numPr>
        <w:spacing w:after="120" w:line="360" w:lineRule="auto"/>
        <w:ind w:left="360"/>
        <w:jc w:val="both"/>
        <w:rPr>
          <w:rFonts w:ascii="Tahoma" w:hAnsi="Tahoma"/>
          <w:b/>
          <w:bCs/>
          <w:u w:val="single"/>
          <w:rtl/>
        </w:rPr>
      </w:pPr>
      <w:r>
        <w:rPr>
          <w:rFonts w:hint="cs"/>
          <w:b/>
          <w:bCs/>
          <w:u w:val="single"/>
          <w:rtl/>
        </w:rPr>
        <w:t>סוף דבר</w:t>
      </w:r>
      <w:r w:rsidRPr="00CE1F20">
        <w:rPr>
          <w:rFonts w:hint="cs"/>
          <w:b/>
          <w:bCs/>
          <w:u w:val="single"/>
          <w:rtl/>
        </w:rPr>
        <w:t>:</w:t>
      </w:r>
    </w:p>
    <w:p w:rsidR="00DA1B9D" w:rsidRPr="002059D0" w:rsidRDefault="00DA1B9D" w:rsidP="00DA1B9D">
      <w:pPr>
        <w:numPr>
          <w:ilvl w:val="0"/>
          <w:numId w:val="4"/>
        </w:numPr>
        <w:spacing w:after="120" w:line="360" w:lineRule="auto"/>
        <w:ind w:left="360"/>
        <w:jc w:val="both"/>
        <w:rPr>
          <w:rFonts w:ascii="Tahoma" w:hAnsi="Tahoma"/>
          <w:rtl/>
        </w:rPr>
      </w:pPr>
      <w:r>
        <w:rPr>
          <w:rFonts w:hint="cs"/>
          <w:rtl/>
        </w:rPr>
        <w:t xml:space="preserve">אשר על כן </w:t>
      </w:r>
      <w:r>
        <w:rPr>
          <w:rtl/>
        </w:rPr>
        <w:t>–</w:t>
      </w:r>
      <w:r>
        <w:rPr>
          <w:rFonts w:hint="cs"/>
          <w:rtl/>
        </w:rPr>
        <w:t xml:space="preserve"> ובהתחשב בשיקולים לכף חומרה ולכף קולה, אשר פורטו לעיל </w:t>
      </w:r>
      <w:r>
        <w:rPr>
          <w:rtl/>
        </w:rPr>
        <w:t>–</w:t>
      </w:r>
      <w:r>
        <w:rPr>
          <w:rFonts w:hint="cs"/>
          <w:rtl/>
        </w:rPr>
        <w:t xml:space="preserve"> אני גוזר על הנאשם את העונשים הבאים:</w:t>
      </w:r>
    </w:p>
    <w:p w:rsidR="00DA1B9D" w:rsidRDefault="00DA1B9D" w:rsidP="000F4EB6">
      <w:pPr>
        <w:spacing w:after="120" w:line="360" w:lineRule="auto"/>
        <w:ind w:left="1080" w:hanging="720"/>
        <w:jc w:val="both"/>
        <w:rPr>
          <w:rFonts w:ascii="Tahoma" w:hAnsi="Tahoma"/>
          <w:rtl/>
        </w:rPr>
      </w:pPr>
      <w:r>
        <w:rPr>
          <w:rFonts w:hint="cs"/>
          <w:rtl/>
        </w:rPr>
        <w:t>(א)</w:t>
      </w:r>
      <w:r>
        <w:rPr>
          <w:rtl/>
        </w:rPr>
        <w:tab/>
      </w:r>
      <w:r w:rsidR="00122E54">
        <w:rPr>
          <w:rFonts w:hint="cs"/>
          <w:rtl/>
        </w:rPr>
        <w:t xml:space="preserve">12 </w:t>
      </w:r>
      <w:r>
        <w:rPr>
          <w:rFonts w:hint="cs"/>
          <w:rtl/>
        </w:rPr>
        <w:t>חודשי מאסר בפועל, בניכוי ימי מעצרו בהתאם לרישומי שירות בתי הסוהר.</w:t>
      </w:r>
    </w:p>
    <w:p w:rsidR="00C94210" w:rsidRDefault="00122E54" w:rsidP="000F4EB6">
      <w:pPr>
        <w:spacing w:after="120" w:line="360" w:lineRule="auto"/>
        <w:ind w:left="1080" w:hanging="720"/>
        <w:jc w:val="both"/>
        <w:rPr>
          <w:rtl/>
        </w:rPr>
      </w:pPr>
      <w:r>
        <w:rPr>
          <w:rFonts w:hint="cs"/>
          <w:rtl/>
        </w:rPr>
        <w:t>(ב</w:t>
      </w:r>
      <w:r w:rsidR="00DA1B9D">
        <w:rPr>
          <w:rFonts w:hint="cs"/>
          <w:rtl/>
        </w:rPr>
        <w:t>)</w:t>
      </w:r>
      <w:r w:rsidR="00DA1B9D">
        <w:rPr>
          <w:rtl/>
        </w:rPr>
        <w:tab/>
      </w:r>
      <w:r w:rsidR="00DA1B9D">
        <w:rPr>
          <w:rFonts w:hint="cs"/>
          <w:rtl/>
        </w:rPr>
        <w:t xml:space="preserve">מאסר על תנאי למשך </w:t>
      </w:r>
      <w:r>
        <w:rPr>
          <w:rFonts w:hint="cs"/>
          <w:rtl/>
        </w:rPr>
        <w:t>6</w:t>
      </w:r>
      <w:r w:rsidR="00DA1B9D">
        <w:rPr>
          <w:rFonts w:hint="cs"/>
          <w:rtl/>
        </w:rPr>
        <w:t xml:space="preserve"> חודשים, אותו לא יישא הנאשם אלא אם כן יעבור, תוך שלוש שנים מיום שחרורו מן המאסר, עביר</w:t>
      </w:r>
      <w:r w:rsidR="00C94210">
        <w:rPr>
          <w:rFonts w:hint="cs"/>
          <w:rtl/>
        </w:rPr>
        <w:t>ת מין לפי הוראות סימן ה' לפרק י' לחוק העונשין.</w:t>
      </w:r>
    </w:p>
    <w:p w:rsidR="00C94210" w:rsidRDefault="00C94210" w:rsidP="00C94210">
      <w:pPr>
        <w:spacing w:after="120" w:line="360" w:lineRule="auto"/>
        <w:ind w:left="1080" w:hanging="720"/>
        <w:jc w:val="both"/>
        <w:rPr>
          <w:rtl/>
        </w:rPr>
      </w:pPr>
      <w:r>
        <w:rPr>
          <w:rFonts w:hint="cs"/>
          <w:rtl/>
        </w:rPr>
        <w:t>(ג)</w:t>
      </w:r>
      <w:r>
        <w:rPr>
          <w:rtl/>
        </w:rPr>
        <w:tab/>
      </w:r>
      <w:r>
        <w:rPr>
          <w:rFonts w:hint="cs"/>
          <w:rtl/>
        </w:rPr>
        <w:t>מאסר על תנאי למשך 4 חודשים, אותו לא יישא הנאשם אלא אם כן יעבור, תוך שלוש שנים מיום שחרורו מן המאסר, עבירת של תקיפת שוטר מכל סוג שהוא.</w:t>
      </w:r>
    </w:p>
    <w:p w:rsidR="00DA1B9D" w:rsidRDefault="00C94210" w:rsidP="00C94210">
      <w:pPr>
        <w:spacing w:after="120" w:line="360" w:lineRule="auto"/>
        <w:ind w:left="1080" w:hanging="720"/>
        <w:jc w:val="both"/>
        <w:rPr>
          <w:rtl/>
        </w:rPr>
      </w:pPr>
      <w:r>
        <w:rPr>
          <w:rFonts w:hint="cs"/>
          <w:rtl/>
        </w:rPr>
        <w:t>(ד</w:t>
      </w:r>
      <w:r w:rsidR="00DA1B9D">
        <w:rPr>
          <w:rFonts w:hint="cs"/>
          <w:rtl/>
        </w:rPr>
        <w:t>)</w:t>
      </w:r>
      <w:r w:rsidR="00DA1B9D">
        <w:rPr>
          <w:rtl/>
        </w:rPr>
        <w:tab/>
      </w:r>
      <w:r w:rsidR="00DA1B9D">
        <w:rPr>
          <w:rFonts w:hint="cs"/>
          <w:rtl/>
        </w:rPr>
        <w:t>פיצויים למתלוננת</w:t>
      </w:r>
      <w:r>
        <w:rPr>
          <w:rFonts w:hint="cs"/>
          <w:rtl/>
        </w:rPr>
        <w:t xml:space="preserve"> </w:t>
      </w:r>
      <w:r w:rsidR="00DA1B9D">
        <w:rPr>
          <w:rFonts w:hint="cs"/>
          <w:rtl/>
        </w:rPr>
        <w:t xml:space="preserve">בסך של </w:t>
      </w:r>
      <w:r>
        <w:rPr>
          <w:rFonts w:hint="cs"/>
          <w:rtl/>
        </w:rPr>
        <w:t>7,500</w:t>
      </w:r>
      <w:r w:rsidR="00DA1B9D">
        <w:rPr>
          <w:rFonts w:hint="cs"/>
          <w:rtl/>
        </w:rPr>
        <w:t xml:space="preserve"> ₪.</w:t>
      </w:r>
    </w:p>
    <w:p w:rsidR="00DA1B9D" w:rsidRDefault="00DA1B9D" w:rsidP="000F4EB6">
      <w:pPr>
        <w:spacing w:after="120" w:line="360" w:lineRule="auto"/>
        <w:ind w:left="1080"/>
        <w:jc w:val="both"/>
        <w:rPr>
          <w:rFonts w:ascii="Tahoma" w:hAnsi="Tahoma"/>
        </w:rPr>
      </w:pPr>
      <w:r>
        <w:rPr>
          <w:rFonts w:hint="cs"/>
          <w:rtl/>
        </w:rPr>
        <w:t>הפיצויים ישולמו ב-</w:t>
      </w:r>
      <w:r w:rsidR="00C94210">
        <w:rPr>
          <w:rFonts w:hint="cs"/>
          <w:rtl/>
        </w:rPr>
        <w:t>10</w:t>
      </w:r>
      <w:r>
        <w:rPr>
          <w:rFonts w:hint="cs"/>
          <w:rtl/>
        </w:rPr>
        <w:t xml:space="preserve"> תשלומים חודשיים, שווים ורצופים, החל מיום </w:t>
      </w:r>
      <w:r w:rsidR="00C94210">
        <w:rPr>
          <w:rFonts w:hint="cs"/>
          <w:rtl/>
        </w:rPr>
        <w:t>01.01.2024</w:t>
      </w:r>
      <w:r>
        <w:rPr>
          <w:rFonts w:hint="cs"/>
          <w:rtl/>
        </w:rPr>
        <w:t xml:space="preserve"> ובכל אחד בחודש שלאחריו. היה והנאשם לא ישלם את אחד התשלומים במועד תועמד כל יתרת הפיצויים לפירעון מידי.</w:t>
      </w:r>
    </w:p>
    <w:p w:rsidR="00DA1B9D" w:rsidRDefault="00DA1B9D" w:rsidP="000F4EB6">
      <w:pPr>
        <w:spacing w:after="120" w:line="360" w:lineRule="auto"/>
        <w:ind w:left="1080" w:hanging="720"/>
        <w:jc w:val="both"/>
        <w:rPr>
          <w:rFonts w:ascii="Tahoma" w:hAnsi="Tahoma"/>
        </w:rPr>
      </w:pPr>
      <w:r>
        <w:rPr>
          <w:rFonts w:ascii="Tahoma" w:hAnsi="Tahoma"/>
          <w:rtl/>
        </w:rPr>
        <w:tab/>
      </w:r>
      <w:r>
        <w:rPr>
          <w:rFonts w:ascii="Tahoma" w:hAnsi="Tahoma" w:hint="cs"/>
          <w:rtl/>
        </w:rPr>
        <w:t>באחריות ב"כ המאשימה להגיש הודעה למזכירות בית המשפט בדבר פרטי המתלוננת, לצורך העברת הפיצויים.</w:t>
      </w:r>
    </w:p>
    <w:p w:rsidR="00DA1B9D" w:rsidRDefault="00DA1B9D" w:rsidP="005D5EEA">
      <w:pPr>
        <w:spacing w:after="120" w:line="360" w:lineRule="auto"/>
        <w:jc w:val="both"/>
        <w:rPr>
          <w:rtl/>
        </w:rPr>
      </w:pPr>
      <w:r>
        <w:rPr>
          <w:rFonts w:hint="cs"/>
          <w:rtl/>
        </w:rPr>
        <w:t xml:space="preserve">ניתן בזה צו כללי, לעניין מוצגים, לשיקול דעתו של קצין משטרה. </w:t>
      </w:r>
    </w:p>
    <w:p w:rsidR="00DA1B9D" w:rsidRDefault="00DA1B9D" w:rsidP="009B0C25">
      <w:pPr>
        <w:snapToGrid w:val="0"/>
        <w:spacing w:after="120" w:line="360" w:lineRule="auto"/>
        <w:jc w:val="both"/>
        <w:rPr>
          <w:rtl/>
        </w:rPr>
      </w:pPr>
      <w:r>
        <w:rPr>
          <w:rFonts w:hint="cs"/>
          <w:rtl/>
        </w:rPr>
        <w:t>זכות ערעור בתוך 45 יום מהיום.</w:t>
      </w:r>
    </w:p>
    <w:p w:rsidR="00ED4465" w:rsidRPr="00C94210" w:rsidRDefault="00F53936" w:rsidP="00F53936">
      <w:pPr>
        <w:spacing w:line="360" w:lineRule="auto"/>
        <w:jc w:val="both"/>
        <w:rPr>
          <w:rFonts w:ascii="Arial" w:hAnsi="Arial"/>
          <w:rtl/>
        </w:rPr>
      </w:pPr>
      <w:r w:rsidRPr="00C94210">
        <w:rPr>
          <w:rFonts w:ascii="Arial" w:hAnsi="Arial"/>
          <w:rtl/>
        </w:rPr>
        <w:t xml:space="preserve">ניתן היום, </w:t>
      </w:r>
      <w:sdt>
        <w:sdtPr>
          <w:rPr>
            <w:rFonts w:ascii="Arial" w:hAnsi="Arial"/>
            <w:rtl/>
          </w:rPr>
          <w:alias w:val="1455"/>
          <w:tag w:val="1455"/>
          <w:id w:val="-750497047"/>
          <w:text w:multiLine="1"/>
        </w:sdtPr>
        <w:sdtEndPr/>
        <w:sdtContent>
          <w:r>
            <w:rPr>
              <w:rFonts w:ascii="Arial" w:hAnsi="Arial"/>
              <w:rtl/>
            </w:rPr>
            <w:t>ב' טבת תשפ"ד</w:t>
          </w:r>
        </w:sdtContent>
      </w:sdt>
      <w:r w:rsidR="00684E84" w:rsidRPr="00C94210">
        <w:rPr>
          <w:rFonts w:ascii="Arial" w:hAnsi="Arial"/>
          <w:rtl/>
        </w:rPr>
        <w:t xml:space="preserve">, </w:t>
      </w:r>
      <w:sdt>
        <w:sdtPr>
          <w:rPr>
            <w:rFonts w:ascii="Arial" w:hAnsi="Arial"/>
            <w:rtl/>
          </w:rPr>
          <w:alias w:val="1456"/>
          <w:tag w:val="1456"/>
          <w:id w:val="367718347"/>
          <w:text w:multiLine="1"/>
        </w:sdtPr>
        <w:sdtEndPr/>
        <w:sdtContent>
          <w:r>
            <w:rPr>
              <w:rFonts w:ascii="Arial" w:hAnsi="Arial"/>
              <w:rtl/>
            </w:rPr>
            <w:t>14 דצמבר 2023</w:t>
          </w:r>
        </w:sdtContent>
      </w:sdt>
      <w:r w:rsidR="00684E84" w:rsidRPr="00C94210">
        <w:rPr>
          <w:rFonts w:ascii="Arial" w:hAnsi="Arial"/>
          <w:rtl/>
        </w:rPr>
        <w:t xml:space="preserve">, </w:t>
      </w:r>
      <w:r w:rsidRPr="00C94210">
        <w:rPr>
          <w:rFonts w:ascii="Arial" w:hAnsi="Arial" w:hint="cs"/>
          <w:rtl/>
        </w:rPr>
        <w:t>במעמד</w:t>
      </w:r>
      <w:r w:rsidR="00684E84" w:rsidRPr="00C94210">
        <w:rPr>
          <w:rFonts w:ascii="Arial" w:hAnsi="Arial"/>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2085482197"/>
        </w:sdtPr>
        <w:sdtEndPr/>
        <w:sdtContent>
          <w:r w:rsidR="00D943D5">
            <w:rPr>
              <w:noProof/>
            </w:rPr>
            <w:drawing>
              <wp:inline distT="0" distB="0" distL="0" distR="0" wp14:editId="50D07946">
                <wp:extent cx="1457325"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57325" cy="68580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872" w:rsidRDefault="006C3872">
      <w:r>
        <w:separator/>
      </w:r>
    </w:p>
  </w:endnote>
  <w:endnote w:type="continuationSeparator" w:id="0">
    <w:p w:rsidR="006C3872" w:rsidRDefault="006C3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3953CE">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3953CE">
      <w:rPr>
        <w:noProof/>
        <w:rtl/>
      </w:rPr>
      <w:t>9</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3D5" w:rsidRDefault="00D943D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872" w:rsidRDefault="006C3872">
      <w:r>
        <w:separator/>
      </w:r>
    </w:p>
  </w:footnote>
  <w:footnote w:type="continuationSeparator" w:id="0">
    <w:p w:rsidR="006C3872" w:rsidRDefault="006C3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3D5" w:rsidRDefault="00D943D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090"/>
      <w:gridCol w:w="2415"/>
    </w:tblGrid>
    <w:tr w:rsidR="00507694" w:rsidTr="0031077A">
      <w:trPr>
        <w:trHeight w:hRule="exact" w:val="418"/>
        <w:jc w:val="center"/>
      </w:trPr>
      <w:sdt>
        <w:sdtPr>
          <w:rPr>
            <w:rtl/>
          </w:rPr>
          <w:alias w:val="1174"/>
          <w:tag w:val="1174"/>
          <w:id w:val="-140351139"/>
          <w:text/>
        </w:sdtPr>
        <w:sdtEndPr/>
        <w:sdtContent>
          <w:tc>
            <w:tcPr>
              <w:tcW w:w="8505"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בתל אביב -יפו</w:t>
              </w:r>
            </w:p>
          </w:tc>
        </w:sdtContent>
      </w:sdt>
    </w:tr>
    <w:tr w:rsidR="00507694" w:rsidTr="0031077A">
      <w:trPr>
        <w:trHeight w:val="337"/>
        <w:jc w:val="center"/>
      </w:trPr>
      <w:tc>
        <w:tcPr>
          <w:tcW w:w="6090" w:type="dxa"/>
        </w:tcPr>
        <w:p w:rsidR="00507694" w:rsidRDefault="006C3872" w:rsidP="0031077A">
          <w:pPr>
            <w:rPr>
              <w:rFonts w:cs="FrankRuehl"/>
              <w:sz w:val="28"/>
              <w:szCs w:val="28"/>
              <w:rtl/>
            </w:rPr>
          </w:pPr>
          <w:sdt>
            <w:sdtPr>
              <w:rPr>
                <w:rtl/>
              </w:rPr>
              <w:alias w:val="1170"/>
              <w:tag w:val="1170"/>
              <w:id w:val="2112628154"/>
              <w:text w:multiLine="1"/>
            </w:sdtPr>
            <w:sdtEndPr/>
            <w:sdtContent>
              <w:r w:rsidR="00D73C3D">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73C3D">
                <w:rPr>
                  <w:rFonts w:cs="FrankRuehl"/>
                  <w:sz w:val="28"/>
                  <w:szCs w:val="28"/>
                  <w:rtl/>
                </w:rPr>
                <w:t>42756-08-22</w:t>
              </w:r>
            </w:sdtContent>
          </w:sdt>
          <w:r w:rsidR="00684E84">
            <w:rPr>
              <w:rFonts w:cs="FrankRuehl" w:hint="cs"/>
              <w:sz w:val="28"/>
              <w:szCs w:val="28"/>
              <w:rtl/>
            </w:rPr>
            <w:t xml:space="preserve"> </w:t>
          </w:r>
          <w:sdt>
            <w:sdtPr>
              <w:rPr>
                <w:rtl/>
              </w:rPr>
              <w:alias w:val="1172"/>
              <w:tag w:val="1172"/>
              <w:id w:val="-2143494014"/>
              <w:text w:multiLine="1"/>
            </w:sdtPr>
            <w:sdtEndPr/>
            <w:sdtContent>
              <w:r w:rsidR="00D73C3D">
                <w:rPr>
                  <w:rFonts w:cs="FrankRuehl"/>
                  <w:sz w:val="28"/>
                  <w:szCs w:val="28"/>
                  <w:rtl/>
                </w:rPr>
                <w:t>מדינת ישראל נ' CHOLAPPALLY</w:t>
              </w:r>
            </w:sdtContent>
          </w:sdt>
        </w:p>
        <w:p w:rsidR="00507694" w:rsidRDefault="00507694">
          <w:pPr>
            <w:pStyle w:val="a3"/>
            <w:rPr>
              <w:rFonts w:cs="FrankRuehl"/>
              <w:sz w:val="28"/>
              <w:szCs w:val="28"/>
              <w:rtl/>
            </w:rPr>
          </w:pPr>
        </w:p>
      </w:tc>
      <w:tc>
        <w:tcPr>
          <w:tcW w:w="2415"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3D5" w:rsidRDefault="00D943D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0C4461A"/>
    <w:multiLevelType w:val="hybridMultilevel"/>
    <w:tmpl w:val="D13EEA82"/>
    <w:lvl w:ilvl="0" w:tplc="29D42FAA">
      <w:start w:val="1"/>
      <w:numFmt w:val="decimal"/>
      <w:lvlText w:val="%1."/>
      <w:lvlJc w:val="left"/>
      <w:pPr>
        <w:ind w:left="720" w:hanging="360"/>
      </w:pPr>
      <w:rPr>
        <w:sz w:val="24"/>
        <w:szCs w:val="24"/>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B65310C"/>
    <w:multiLevelType w:val="hybridMultilevel"/>
    <w:tmpl w:val="9448F7A0"/>
    <w:lvl w:ilvl="0" w:tplc="29AC2444">
      <w:start w:val="1"/>
      <w:numFmt w:val="hebrew1"/>
      <w:lvlText w:val="%1."/>
      <w:lvlJc w:val="left"/>
      <w:pPr>
        <w:ind w:left="728" w:hanging="360"/>
      </w:pPr>
      <w:rPr>
        <w:strike w:val="0"/>
        <w:dstrike w:val="0"/>
        <w:u w:val="none"/>
        <w:effect w:val="none"/>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98344D"/>
    <w:multiLevelType w:val="hybridMultilevel"/>
    <w:tmpl w:val="4EEE57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74BA5C8D"/>
    <w:multiLevelType w:val="hybridMultilevel"/>
    <w:tmpl w:val="D006EA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3969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39692&amp;lt;/CaseID&amp;gt;_x000d__x000a_        &amp;lt;CaseMonth&amp;gt;8&amp;lt;/CaseMonth&amp;gt;_x000d__x000a_        &amp;lt;CaseYear&amp;gt;2022&amp;lt;/CaseYear&amp;gt;_x000d__x000a_        &amp;lt;CaseNumber&amp;gt;42756&amp;lt;/CaseNumber&amp;gt;_x000d__x000a_        &amp;lt;NumeratorGroupID&amp;gt;1&amp;lt;/NumeratorGroupID&amp;gt;_x000d__x000a_        &amp;lt;CaseName&amp;gt;מדינת ישראל נ&amp;#39; CHOLAPPALLY(עציר)&amp;lt;/CaseName&amp;gt;_x000d__x000a_        &amp;lt;CourtID&amp;gt;32&amp;lt;/CourtID&amp;gt;_x000d__x000a_        &amp;lt;CaseTypeID&amp;gt;10048&amp;lt;/CaseTypeID&amp;gt;_x000d__x000a_        &amp;lt;CaseJudgeName&amp;gt;שאול אבינור&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42756-08-22&amp;lt;/CaseDisplayIdentifier&amp;gt;_x000d__x000a_        &amp;lt;CaseTypeDesc&amp;gt;ת&amp;quot;פ&amp;lt;/CaseTypeDesc&amp;gt;_x000d__x000a_        &amp;lt;CourtDesc&amp;gt;שלום תל אביב - יפו&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2-08-19T08:53: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שאול&amp;lt;/CaseJudgeFirstName&amp;gt;_x000d__x000a_        &amp;lt;CaseJudgeLastName&amp;gt;אבינור&amp;lt;/CaseJudgeLastName&amp;gt;_x000d__x000a_        &amp;lt;JudicalPersonID&amp;gt;057810202@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IsMainCase&amp;gt;false&amp;lt;/IsMainCase&amp;gt;_x000d__x000a_        &amp;lt;CaseDesc&amp;gt;נשלחה הודעה לאלחנן לזמנו משב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39692&amp;lt;/CaseID&amp;gt;_x000d__x000a_        &amp;lt;CaseMonth&amp;gt;8&amp;lt;/CaseMonth&amp;gt;_x000d__x000a_        &amp;lt;CaseYear&amp;gt;2022&amp;lt;/CaseYear&amp;gt;_x000d__x000a_        &amp;lt;CaseNumber&amp;gt;42756&amp;lt;/CaseNumber&amp;gt;_x000d__x000a_        &amp;lt;NumeratorGroupID&amp;gt;1&amp;lt;/NumeratorGroupID&amp;gt;_x000d__x000a_        &amp;lt;CaseName&amp;gt;מדינת ישראל נ&amp;#39; CHOLAPPALLY(עציר)&amp;lt;/CaseName&amp;gt;_x000d__x000a_        &amp;lt;CourtID&amp;gt;32&amp;lt;/CourtID&amp;gt;_x000d__x000a_        &amp;lt;CaseTypeID&amp;gt;10048&amp;lt;/CaseTypeID&amp;gt;_x000d__x000a_        &amp;lt;CaseJudgeName&amp;gt;שאול אבינור&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42756-08-22&amp;lt;/CaseDisplayIdentifier&amp;gt;_x000d__x000a_        &amp;lt;CaseTypeDesc&amp;gt;ת&amp;quot;פ&amp;lt;/CaseTypeDesc&amp;gt;_x000d__x000a_        &amp;lt;CourtDesc&amp;gt;שלום תל אביב - יפו&amp;lt;/CourtDesc&amp;gt;_x000d__x000a_        &amp;lt;CaseStageDesc&amp;gt;תיק אלקטרוני&amp;lt;/CaseStageDesc&amp;gt;_x000d__x000a_        &amp;lt;CaseNextDeterminingTask&amp;gt;150&amp;lt;/CaseNextDeterminingTask&amp;gt;_x000d__x000a_        &amp;lt;CaseOpenDate&amp;gt;2022-08-19T08:53: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שאול&amp;lt;/CaseJudgeFirstName&amp;gt;_x000d__x000a_        &amp;lt;CaseJudgeLastName&amp;gt;אבינור&amp;lt;/CaseJudgeLastName&amp;gt;_x000d__x000a_        &amp;lt;JudicalPersonID&amp;gt;057810202@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IsMainCase&amp;gt;false&amp;lt;/IsMainCase&amp;gt;_x000d__x000a_        &amp;lt;CaseDesc&amp;gt;נשלחה הודעה לאלחנן לזמנו משב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539454&amp;lt;/DecisionID&amp;gt;_x000d__x000a_        &amp;lt;DecisionName&amp;gt;גזר דין  שניתנה ע&amp;quot;י  שאול אבינור&amp;lt;/DecisionName&amp;gt;_x000d__x000a_        &amp;lt;DecisionStatusID&amp;gt;1&amp;lt;/DecisionStatusID&amp;gt;_x000d__x000a_        &amp;lt;DecisionStatusChangeDate&amp;gt;2023-12-14T09:25:29.073+02:00&amp;lt;/DecisionStatusChangeDate&amp;gt;_x000d__x000a_        &amp;lt;DecisionSignatureDate&amp;gt;2023-12-12T10:54:05.087+02:00&amp;lt;/DecisionSignatureDate&amp;gt;_x000d__x000a_        &amp;lt;DecisionSignatureUserID&amp;gt;057810202@GOV.IL&amp;lt;/DecisionSignatureUserID&amp;gt;_x000d__x000a_        &amp;lt;DecisionCreateDate&amp;gt;2023-12-12T10:56:21.597+02:00&amp;lt;/DecisionCreateDate&amp;gt;_x000d__x000a_        &amp;lt;DecisionChangeDate&amp;gt;2023-12-14T09:25:29.19+02:00&amp;lt;/DecisionChangeDate&amp;gt;_x000d__x000a_        &amp;lt;DecisionChangeUserID&amp;gt;0578102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828840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8102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810202@GOV.IL&amp;lt;/DecisionCreationUserID&amp;gt;_x000d__x000a_        &amp;lt;DecisionDisplayName&amp;gt;גזר דין  שניתנה ע&amp;quot;י  שאול אבינור&amp;lt;/DecisionDisplayName&amp;gt;_x000d__x000a_        &amp;lt;IsScanned&amp;gt;false&amp;lt;/IsScanned&amp;gt;_x000d__x000a_        &amp;lt;DecisionSignatureUserName&amp;gt;שאול אבינו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0&amp;lt;/DecisionNumberInCase&amp;gt;_x000d__x000a_      &amp;lt;/dt_Decision&amp;gt;_x000d__x000a_      &amp;lt;dt_DecisionCase diffgr:id=&amp;quot;dt_DecisionCase1&amp;quot; msdata:rowOrder=&amp;quot;0&amp;quot;&amp;gt;_x000d__x000a_        &amp;lt;DecisionID&amp;gt;148539454&amp;lt;/DecisionID&amp;gt;_x000d__x000a_        &amp;lt;CaseID&amp;gt;79539692&amp;lt;/CaseID&amp;gt;_x000d__x000a_        &amp;lt;IsOriginal&amp;gt;true&amp;lt;/IsOriginal&amp;gt;_x000d__x000a_        &amp;lt;IsDeleted&amp;gt;false&amp;lt;/IsDeleted&amp;gt;_x000d__x000a_        &amp;lt;CaseName&amp;gt;מדינת ישראל נ&amp;#39; CHOLAPPALLY(עציר)&amp;lt;/CaseName&amp;gt;_x000d__x000a_        &amp;lt;CaseDisplayIdentifier&amp;gt;42756-08-22 ת&amp;quot;פ&amp;lt;/CaseDisplayIdentifier&amp;gt;_x000d__x000a_      &amp;lt;/dt_DecisionCase&amp;gt;_x000d__x000a_    &amp;lt;/DecisionDS&amp;gt;_x000d__x000a_  &amp;lt;/diffgr:diffgram&amp;gt;_x000d__x000a_&amp;lt;/DecisionDS&amp;gt;"/>
    <w:docVar w:name="DecisionID" w:val="148539454"/>
    <w:docVar w:name="WordClientAssemblyName" w:val="NGCS.Decision.ClientWordBL"/>
    <w:docVar w:name="WordClientClassName" w:val="NGCS.Decision.ClientWordBL.DecisionClient"/>
  </w:docVars>
  <w:rsids>
    <w:rsidRoot w:val="00507694"/>
    <w:rsid w:val="0000752B"/>
    <w:rsid w:val="0001502B"/>
    <w:rsid w:val="00031F8A"/>
    <w:rsid w:val="000454A8"/>
    <w:rsid w:val="00054FC4"/>
    <w:rsid w:val="0006726A"/>
    <w:rsid w:val="000B26ED"/>
    <w:rsid w:val="000E77DA"/>
    <w:rsid w:val="000F2247"/>
    <w:rsid w:val="000F7977"/>
    <w:rsid w:val="00100577"/>
    <w:rsid w:val="001142D8"/>
    <w:rsid w:val="00122E54"/>
    <w:rsid w:val="001352F8"/>
    <w:rsid w:val="0014323A"/>
    <w:rsid w:val="00212125"/>
    <w:rsid w:val="00224AC0"/>
    <w:rsid w:val="00236DD4"/>
    <w:rsid w:val="002A2830"/>
    <w:rsid w:val="002B7D23"/>
    <w:rsid w:val="002D6C61"/>
    <w:rsid w:val="0031077A"/>
    <w:rsid w:val="003659E3"/>
    <w:rsid w:val="00367565"/>
    <w:rsid w:val="00382FB6"/>
    <w:rsid w:val="00394B7F"/>
    <w:rsid w:val="003953CE"/>
    <w:rsid w:val="003D7D8A"/>
    <w:rsid w:val="003E0C9F"/>
    <w:rsid w:val="003E6B2F"/>
    <w:rsid w:val="003F1359"/>
    <w:rsid w:val="004215DC"/>
    <w:rsid w:val="004902D6"/>
    <w:rsid w:val="004A37F4"/>
    <w:rsid w:val="004F77A7"/>
    <w:rsid w:val="0050387A"/>
    <w:rsid w:val="00507694"/>
    <w:rsid w:val="00514E14"/>
    <w:rsid w:val="00523ED8"/>
    <w:rsid w:val="00553D0A"/>
    <w:rsid w:val="00577311"/>
    <w:rsid w:val="005C7B0B"/>
    <w:rsid w:val="005D468B"/>
    <w:rsid w:val="005E05C8"/>
    <w:rsid w:val="00654D5B"/>
    <w:rsid w:val="00683ABD"/>
    <w:rsid w:val="00684E84"/>
    <w:rsid w:val="006B7A9A"/>
    <w:rsid w:val="006C2095"/>
    <w:rsid w:val="006C3872"/>
    <w:rsid w:val="00706644"/>
    <w:rsid w:val="007206DC"/>
    <w:rsid w:val="007370C1"/>
    <w:rsid w:val="00757983"/>
    <w:rsid w:val="00772F9D"/>
    <w:rsid w:val="00821F29"/>
    <w:rsid w:val="00822550"/>
    <w:rsid w:val="0083118D"/>
    <w:rsid w:val="00832D73"/>
    <w:rsid w:val="0086556D"/>
    <w:rsid w:val="008819B4"/>
    <w:rsid w:val="00887F97"/>
    <w:rsid w:val="00912851"/>
    <w:rsid w:val="00947B38"/>
    <w:rsid w:val="009705CC"/>
    <w:rsid w:val="009A730D"/>
    <w:rsid w:val="009E35A7"/>
    <w:rsid w:val="009E49A1"/>
    <w:rsid w:val="009E784A"/>
    <w:rsid w:val="009F16A4"/>
    <w:rsid w:val="009F504D"/>
    <w:rsid w:val="00A504C4"/>
    <w:rsid w:val="00B05847"/>
    <w:rsid w:val="00B22E0A"/>
    <w:rsid w:val="00BA2334"/>
    <w:rsid w:val="00BD67E7"/>
    <w:rsid w:val="00BE0015"/>
    <w:rsid w:val="00C02463"/>
    <w:rsid w:val="00C45023"/>
    <w:rsid w:val="00C55E62"/>
    <w:rsid w:val="00C572E8"/>
    <w:rsid w:val="00C94210"/>
    <w:rsid w:val="00C95319"/>
    <w:rsid w:val="00D202F4"/>
    <w:rsid w:val="00D3203D"/>
    <w:rsid w:val="00D73C3D"/>
    <w:rsid w:val="00D943D5"/>
    <w:rsid w:val="00DA1B9D"/>
    <w:rsid w:val="00E70F9C"/>
    <w:rsid w:val="00E82960"/>
    <w:rsid w:val="00E9162E"/>
    <w:rsid w:val="00ED4465"/>
    <w:rsid w:val="00F3092F"/>
    <w:rsid w:val="00F53936"/>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DA1B9D"/>
    <w:pPr>
      <w:ind w:left="720"/>
      <w:contextualSpacing/>
    </w:pPr>
    <w:rPr>
      <w:rFonts w:ascii="Arial (W1)" w:hAnsi="Arial (W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456338811">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FB5E85" w:rsidP="00FB5E85">
          <w:pPr>
            <w:pStyle w:val="779E22585710421C8C89FB185AEA4F296"/>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FB5E85" w:rsidP="00FB5E85">
          <w:pPr>
            <w:pStyle w:val="010484D989C74E84A895BCF1D17B4C1C6"/>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6567AB" w:rsidP="006567AB">
          <w:pPr>
            <w:pStyle w:val="4C499F2ED676413B965A992DD16BA9683"/>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6567AB"/>
    <w:rsid w:val="0087509C"/>
    <w:rsid w:val="009878DC"/>
    <w:rsid w:val="00AF3697"/>
    <w:rsid w:val="00CC13F5"/>
    <w:rsid w:val="00FB5E8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6567AB"/>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87509C"/>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87509C"/>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87509C"/>
    <w:pPr>
      <w:bidi/>
      <w:spacing w:after="0" w:line="240" w:lineRule="auto"/>
    </w:pPr>
    <w:rPr>
      <w:rFonts w:ascii="Times New Roman" w:eastAsia="Times New Roman" w:hAnsi="Times New Roman" w:cs="David"/>
      <w:sz w:val="24"/>
      <w:szCs w:val="24"/>
    </w:rPr>
  </w:style>
  <w:style w:type="paragraph" w:customStyle="1" w:styleId="779E22585710421C8C89FB185AEA4F296">
    <w:name w:val="779E22585710421C8C89FB185AEA4F296"/>
    <w:rsid w:val="00FB5E85"/>
    <w:pPr>
      <w:bidi/>
      <w:spacing w:after="0" w:line="240" w:lineRule="auto"/>
    </w:pPr>
    <w:rPr>
      <w:rFonts w:ascii="Times New Roman" w:eastAsia="Times New Roman" w:hAnsi="Times New Roman" w:cs="David"/>
      <w:sz w:val="24"/>
      <w:szCs w:val="24"/>
    </w:rPr>
  </w:style>
  <w:style w:type="paragraph" w:customStyle="1" w:styleId="010484D989C74E84A895BCF1D17B4C1C6">
    <w:name w:val="010484D989C74E84A895BCF1D17B4C1C6"/>
    <w:rsid w:val="00FB5E85"/>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FB5E85"/>
    <w:pPr>
      <w:bidi/>
      <w:spacing w:after="0" w:line="240" w:lineRule="auto"/>
    </w:pPr>
    <w:rPr>
      <w:rFonts w:ascii="Times New Roman" w:eastAsia="Times New Roman" w:hAnsi="Times New Roman" w:cs="David"/>
      <w:sz w:val="24"/>
      <w:szCs w:val="24"/>
    </w:rPr>
  </w:style>
  <w:style w:type="paragraph" w:customStyle="1" w:styleId="4C499F2ED676413B965A992DD16BA9683">
    <w:name w:val="4C499F2ED676413B965A992DD16BA9683"/>
    <w:rsid w:val="006567AB"/>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79539692</CaseID>
    <CaseJudicialPersonPresentationDS>
      <CaseJudicalPersonActive>
        <CaseID>79539692</CaseID>
        <JudicialPersonID>057810202@GOV.IL</JudicialPersonID>
        <JudicialPersonTypeID>1</JudicialPersonTypeID>
        <JudicialTypeID>1</JudicialTypeID>
        <IsChairman>false</IsChairman>
        <TreatmentStartDate>2023-11-15T14:15:38.23+02:00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תל אביב</FullName>
        <LastName>שרות מבחן למבוגרים - תל אביב</LastName>
        <PartyPropertyName/>
        <AuthenticationTypeAndNumber>משרדי ממשלה 500106276</AuthenticationTypeAndNumber>
        <RepresentatedOrRepresentativesNames/>
        <RepresentatedOrRepresentativesCount>0</RepresentatedOrRepresentativesCount>
        <InvitedBy/>
        <CaseID>79539692</CaseID>
        <CaseJudicialPersonPresentationDS>
          <CaseJudicalPersonActive>
            <CaseID>79539692</CaseID>
            <JudicialPersonID>057810202@GOV.IL</JudicialPersonID>
            <JudicialPersonTypeID>1</JudicialPersonTypeID>
            <JudicialTypeID>1</JudicialTypeID>
            <IsChairman>false</IsChairman>
            <TreatmentStartDate>2023-11-15T14:15:38.23+02:00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255220149</CasePartyID>
        <PartyTypeID>3</PartyTypeID>
        <ActivityStatusID>1</ActivityStatusID>
        <LegalEntityID>2116694</LegalEntityID>
        <CaseLegalEntityID>124206477</CaseLegalEntityID>
        <AssistantRoleID>14</AssistantRoleID>
        <AuthenticationTypeID>13</AuthenticationTypeID>
        <AuthenticationTypeName>משרדי ממשלה</AuthenticationTypeName>
        <LegalEntityNumber>500106276</LegalEntityNumber>
        <IsMainPartyType>true</IsMainPartyType>
        <CaseDisplayIdentifier>42756-08-22</CaseDisplayIdentifier>
        <CaseTypeID>10048</CaseTypeID>
        <CaseTypeName>תיק פלילי (ת"פ)</CaseTypeName>
        <CaseName>מדינת ישראל נ' CHOLAPPALLY(עציר)</CaseName>
        <FullAddress>קיבוץ גלויות 106 תל אביב -יפו </FullAddress>
        <EmailAddress>f2m_025085485@molsa.gov.il</EmailAddress>
        <MotionID>0</MotionID>
        <CasePleaID>0</CasePleaID>
        <LinkedCaseID>0</LinkedCaseID>
        <PartyID>1</PartyID>
        <CasePartyCategoryID>2</CasePartyCategoryID>
        <LegalEntityAddressID>80491378</LegalEntityAddressID>
        <LegalEntityEmailAddressID>67917150</LegalEntityEmailAddressID>
        <PleaTypeID>8</PleaTypeID>
        <GroupPartyAlias/>
        <IsConverted>false</IsConverted>
        <LegalEntityRegisteredNameID>1723259</LegalEntityRegisteredNameID>
        <RepresentatedNamesOfAssistant/>
        <LegalEntityTypeID>3</LegalEntityTypeID>
        <IsVerdictExists>false</IsVerdictExists>
        <IsAsirAzir>false</IsAsirAzir>
        <IsPublicationProhibited>false</IsPublicationProhibited>
        <PublicationProhibitedFullName>שרות מבחן למבוגרים - תל אביב</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79539692</CaseID>
        <CaseJudicialPersonPresentationDS>
          <CaseJudicalPersonActive>
            <CaseID>79539692</CaseID>
            <JudicialPersonID>057810202@GOV.IL</JudicialPersonID>
            <JudicialPersonTypeID>1</JudicialPersonTypeID>
            <JudicialTypeID>1</JudicialTypeID>
            <IsChairman>false</IsChairman>
            <TreatmentStartDate>2023-11-15T14:15:38.23+02:00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244868674</CasePartyID>
        <PartyTypeID>2</PartyTypeID>
        <ActivityStatusID>1</ActivityStatusID>
        <PartyAliasID>30</PartyAliasID>
        <PartyAliasName>בא כוח מאשימה</PartyAliasName>
        <LegalEntityID>391529</LegalEntityID>
        <CaseLegalEntityID>120983068</CaseLegalEntityID>
        <AuthenticationTypeID>4</AuthenticationTypeID>
        <AuthenticationTypeName>מ.ר.</AuthenticationTypeName>
        <LegalEntityNumber>14734</LegalEntityNumber>
        <IsMainPartyType>true</IsMainPartyType>
        <CaseDisplayIdentifier>42756-08-22</CaseDisplayIdentifier>
        <CaseTypeID>10048</CaseTypeID>
        <CaseTypeName>תיק פלילי (ת"פ)</CaseTypeName>
        <CaseName>מדינת ישראל נ' CHOLAPPALLY(עציר)</CaseName>
        <FullAddress>הנרייטה סולד 1 תל אביב -יפו </FullAddress>
        <EmailAddress>DA-TLV-criminal@justice.gov.il</EmailAddress>
        <MotionID>0</MotionID>
        <CasePleaID>0</CasePleaID>
        <LinkedCaseID>0</LinkedCaseID>
        <PartyID>1</PartyID>
        <CasePartyCategoryID>2</CasePartyCategoryID>
        <LegalEntityAddressID>76302119</LegalEntityAddressID>
        <LegalEntityEmailAddressID>68159580</LegalEntityEmail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רועי שרמן</FullName>
        <FirstName>רועי</FirstName>
        <LastName>שרמן</LastName>
        <PartyPropertyName/>
        <AuthenticationTypeAndNumber>מ.ר. 71127</AuthenticationTypeAndNumber>
        <RepresentatedOrRepresentativesNames>MANU CHOLAPPALLY</RepresentatedOrRepresentativesNames>
        <RepresentatedOrRepresentativesCount>1</RepresentatedOrRepresentativesCount>
        <InvitedBy/>
        <CaseID>79539692</CaseID>
        <CaseJudicialPersonPresentationDS>
          <CaseJudicalPersonActive>
            <CaseID>79539692</CaseID>
            <JudicialPersonID>057810202@GOV.IL</JudicialPersonID>
            <JudicialPersonTypeID>1</JudicialPersonTypeID>
            <JudicialTypeID>1</JudicialTypeID>
            <IsChairman>false</IsChairman>
            <TreatmentStartDate>2023-11-15T14:15:38.23+02:00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248654030</CasePartyID>
        <PartyTypeID>2</PartyTypeID>
        <ActivityStatusID>1</ActivityStatusID>
        <PartyAliasID>32</PartyAliasID>
        <PartyAliasName>בא כוח נאשמים</PartyAliasName>
        <LegalEntityID>74130671</LegalEntityID>
        <CaseLegalEntityID>122181481</CaseLegalEntityID>
        <AuthenticationTypeID>4</AuthenticationTypeID>
        <AuthenticationTypeName>מ.ר.</AuthenticationTypeName>
        <LegalEntityNumber>71127</LegalEntityNumber>
        <IsMainPartyType>true</IsMainPartyType>
        <CaseDisplayIdentifier>42756-08-22</CaseDisplayIdentifier>
        <CaseTypeID>10048</CaseTypeID>
        <CaseTypeName>תיק פלילי (ת"פ)</CaseTypeName>
        <CaseName>מדינת ישראל נ' CHOLAPPALLY(עציר)</CaseName>
        <FullAddress>החשמונאים 68/9 בת ים </FullAddress>
        <EmailAddress>jonba12@walla.co.il</EmailAddress>
        <MotionID>0</MotionID>
        <CasePleaID>0</CasePleaID>
        <LinkedCaseID>0</LinkedCaseID>
        <PartyID>2</PartyID>
        <CasePartyCategoryID>2</CasePartyCategoryID>
        <LegalEntityAddressID>76763897</LegalEntityAddressID>
        <LegalEntityEmailAddressID>68203380</LegalEntityEmailAddressID>
        <PleaTypeID>8</PleaTypeID>
        <LawyerOfficeName>משרד עו"ד רועי שרמן</LawyerOfficeName>
        <LawyerOfficeID>74130672</LawyerOfficeID>
        <GroupPartyAlias/>
        <IsConverted>false</IsConverted>
        <LegalEntityNameID>82584007</LegalEntityNameID>
        <RepresentatedNamesOfAssistant/>
        <LegalEntityTypeID>4</LegalEntityTypeID>
        <IsVerdictExists>false</IsVerdictExists>
        <IsAsirAzir>false</IsAsirAzir>
        <IsPublicationProhibited>false</IsPublicationProhibited>
        <PublicationProhibitedFullName>רועי שרמן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79539692</CaseID>
        <CaseJudicialPersonPresentationDS>
          <CaseJudicalPersonActive>
            <CaseID>79539692</CaseID>
            <JudicialPersonID>057810202@GOV.IL</JudicialPersonID>
            <JudicialPersonTypeID>1</JudicialPersonTypeID>
            <JudicialTypeID>1</JudicialTypeID>
            <IsChairman>false</IsChairman>
            <TreatmentStartDate>2023-11-15T14:15:38.23+02:00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244868109</CasePartyID>
        <PartyTypeID>1</PartyTypeID>
        <ActivityStatusID>1</ActivityStatusID>
        <PartyAliasID>11</PartyAliasID>
        <PartyAliasName>מאשימה</PartyAliasName>
        <OrdinalNumber>1</OrdinalNumber>
        <LegalEntityID>4</LegalEntityID>
        <CaseLegalEntityID>120982827</CaseLegalEntityID>
        <AuthenticationTypeID>41</AuthenticationTypeID>
        <AuthenticationTypeName>מדינת ישראל </AuthenticationTypeName>
        <LegalEntityNumber/>
        <IsMainPartyType>true</IsMainPartyType>
        <CaseDisplayIdentifier>42756-08-22</CaseDisplayIdentifier>
        <CaseTypeID>10048</CaseTypeID>
        <CaseTypeName>תיק פלילי (ת"פ)</CaseTypeName>
        <CaseName>מדינת ישראל נ' CHOLAPPALLY(עציר)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MANU CHOLAPPALLY (עציר)</FullName>
        <FirstName>MANU</FirstName>
        <LastName>CHOLAPPALLY</LastName>
        <PartyPropertyID>6</PartyPropertyID>
        <PartyPropertyName/>
        <AuthenticationTypeAndNumber>ת"ז 153403902</AuthenticationTypeAndNumber>
        <RepresentatedOrRepresentativesNames>רועי שרמן</RepresentatedOrRepresentativesNames>
        <RepresentatedOrRepresentativesCount>1</RepresentatedOrRepresentativesCount>
        <InvitedBy/>
        <CaseID>79539692</CaseID>
        <CaseJudicialPersonPresentationDS>
          <CaseJudicalPersonActive>
            <CaseID>79539692</CaseID>
            <JudicialPersonID>057810202@GOV.IL</JudicialPersonID>
            <JudicialPersonTypeID>1</JudicialPersonTypeID>
            <JudicialTypeID>1</JudicialTypeID>
            <IsChairman>false</IsChairman>
            <TreatmentStartDate>2023-11-15T14:15:38.23+02:00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244868111</CasePartyID>
        <PartyTypeID>1</PartyTypeID>
        <ActivityStatusID>1</ActivityStatusID>
        <PartyAliasID>13</PartyAliasID>
        <PartyAliasName>נאשם</PartyAliasName>
        <OrdinalNumber>1</OrdinalNumber>
        <LegalEntityID>80673413</LegalEntityID>
        <CaseLegalEntityID>120982829</CaseLegalEntityID>
        <AuthenticationTypeID>1</AuthenticationTypeID>
        <AuthenticationTypeName>ת"ז</AuthenticationTypeName>
        <LegalEntityNumber>153403902</LegalEntityNumber>
        <IsMainPartyType>true</IsMainPartyType>
        <CaseDisplayIdentifier>42756-08-22</CaseDisplayIdentifier>
        <CaseTypeID>10048</CaseTypeID>
        <CaseTypeName>תיק פלילי (ת"פ)</CaseTypeName>
        <CaseName>מדינת ישראל נ' CHOLAPPALLY(עציר)</CaseName>
        <FullAddress>עלומים 12 רמת גן </FullAddress>
        <MotionID>0</MotionID>
        <CasePleaID>0</CasePleaID>
        <LinkedCaseID>0</LinkedCaseID>
        <PartyID>2</PartyID>
        <CasePartyCategoryID>2</CasePartyCategoryID>
        <LegalEntityAddressID>87285208</LegalEntityAddressID>
        <PleaTypeID>8</PleaTypeID>
        <GroupPartyAlias>נאשמים</GroupPartyAlias>
        <IsConverted>false</IsConverted>
        <LegalEntityNameID>93575513</LegalEntityNameID>
        <RepresentatedNamesOfAssistant/>
        <PopulationRegisterVerificationStatusID>3</PopulationRegisterVerificationStatusID>
        <LegalEntityTypeID>1</LegalEntityTypeID>
        <IsVerdictExists>false</IsVerdictExists>
        <IsAsirAzir>true</IsAsirAzir>
        <IsPublicationProhibited>false</IsPublicationProhibited>
        <PublicationProhibitedFullName>MANU CHOLAPPALLY (עציר)</PublicationProhibitedFullName>
      </CaseParties>
    </CasePartiesSelectionDS>
    <DecisionName>גזר דין  שניתנה ע"י  שאול אבינור</DecisionName>
    <CourtDisplayName>בית משפט השלום בתל אביב -יפו</CourtDisplayName>
    <IsCaseJudgePanel>false</IsCaseJudgePanel>
    <DecisionSignatureDate>2023-12-12T10:54:05.0883066+02:00</DecisionSignatureDate>
    <OpenCaseDate>2022-08-19T08:53:00+03:00</OpenCaseDate>
    <ExternalCaseNumber>374272/2022</ExternalCaseNumber>
    <DecisionTypeID>4</DecisionTypeID>
    <DecisionSignatureUserName>שאול אבינור</DecisionSignatureUserName>
    <DecisionSignatureDateHebrew>2023-12-12T10:54:05.0883066+02:00</DecisionSignatureDateHebrew>
    <DecisionWriterID>057810202@GOV.IL</DecisionWriterID>
    <CourtAddress>רח' ויצמן  1, תל אביב -יפו 64239</CourtAddress>
    <IsAutoTextInCaseExist>false</IsAutoTextInCaseExist>
    <DecisionSignatureRoleName>שופט</DecisionSignatureRoleName>
    <DecisionSignatureUserTitleName>שופט בכיר</DecisionSignatureUserTitleName>
    <CaseName>מדינת ישראל נ' CHOLAPPALLY(עציר)</CaseName>
    <DecisionNumberInCase>30</DecisionNumberInCase>
  </dt_Decision>
  <dt_DecisionCase>
    <DecisionID>0</DecisionID>
    <CaseID>79539692</CaseID>
    <CaseJudicialPersonPresentationDS>
      <CaseJudicalPersonActive>
        <CaseID>79539692</CaseID>
        <JudicialPersonID>057810202@GOV.IL</JudicialPersonID>
        <JudicialPersonTypeID>1</JudicialPersonTypeID>
        <JudicialTypeID>1</JudicialTypeID>
        <IsChairman>false</IsChairman>
        <TreatmentStartDate>2023-11-15T14:15:38.23+02:00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תל אביב</FullName>
        <LastName>שרות מבחן למבוגרים - תל אביב</LastName>
        <PartyPropertyName/>
        <AuthenticationTypeAndNumber>משרדי ממשלה 500106276</AuthenticationTypeAndNumber>
        <RepresentatedOrRepresentativesNames/>
        <RepresentatedOrRepresentativesCount>0</RepresentatedOrRepresentativesCount>
        <InvitedBy/>
        <CaseID>79539692</CaseID>
        <CaseJudicialPersonPresentationDS>
          <CaseJudicalPersonActive>
            <CaseID>79539692</CaseID>
            <JudicialPersonID>057810202@GOV.IL</JudicialPersonID>
            <JudicialPersonTypeID>1</JudicialPersonTypeID>
            <JudicialTypeID>1</JudicialTypeID>
            <IsChairman>false</IsChairman>
            <TreatmentStartDate>2023-11-15T14:15:38.23+02:00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255220149</CasePartyID>
        <PartyTypeID>3</PartyTypeID>
        <ActivityStatusID>1</ActivityStatusID>
        <LegalEntityID>2116694</LegalEntityID>
        <CaseLegalEntityID>124206477</CaseLegalEntityID>
        <AssistantRoleID>14</AssistantRoleID>
        <AuthenticationTypeID>13</AuthenticationTypeID>
        <AuthenticationTypeName>משרדי ממשלה</AuthenticationTypeName>
        <LegalEntityNumber>500106276</LegalEntityNumber>
        <IsMainPartyType>true</IsMainPartyType>
        <CaseDisplayIdentifier>42756-08-22</CaseDisplayIdentifier>
        <CaseTypeID>10048</CaseTypeID>
        <CaseTypeName>תיק פלילי (ת"פ)</CaseTypeName>
        <CaseName>מדינת ישראל נ' CHOLAPPALLY(עציר)</CaseName>
        <FullAddress>קיבוץ גלויות 106 תל אביב -יפו </FullAddress>
        <EmailAddress>f2m_025085485@molsa.gov.il</EmailAddress>
        <MotionID>0</MotionID>
        <CasePleaID>0</CasePleaID>
        <LinkedCaseID>0</LinkedCaseID>
        <PartyID>1</PartyID>
        <CasePartyCategoryID>2</CasePartyCategoryID>
        <LegalEntityAddressID>80491378</LegalEntityAddressID>
        <LegalEntityEmailAddressID>67917150</LegalEntityEmailAddressID>
        <PleaTypeID>8</PleaTypeID>
        <GroupPartyAlias/>
        <IsConverted>false</IsConverted>
        <LegalEntityRegisteredNameID>1723259</LegalEntityRegisteredNameID>
        <RepresentatedNamesOfAssistant/>
        <LegalEntityTypeID>3</LegalEntityTypeID>
        <IsVerdictExists>false</IsVerdictExists>
        <IsAsirAzir>false</IsAsirAzir>
        <IsPublicationProhibited>false</IsPublicationProhibited>
        <PublicationProhibitedFullName>שרות מבחן למבוגרים - תל אביב</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79539692</CaseID>
        <CaseJudicialPersonPresentationDS>
          <CaseJudicalPersonActive>
            <CaseID>79539692</CaseID>
            <JudicialPersonID>057810202@GOV.IL</JudicialPersonID>
            <JudicialPersonTypeID>1</JudicialPersonTypeID>
            <JudicialTypeID>1</JudicialTypeID>
            <IsChairman>false</IsChairman>
            <TreatmentStartDate>2023-11-15T14:15:38.23+02:00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244868674</CasePartyID>
        <PartyTypeID>2</PartyTypeID>
        <ActivityStatusID>1</ActivityStatusID>
        <PartyAliasID>30</PartyAliasID>
        <PartyAliasName>בא כוח מאשימה</PartyAliasName>
        <LegalEntityID>391529</LegalEntityID>
        <CaseLegalEntityID>120983068</CaseLegalEntityID>
        <AuthenticationTypeID>4</AuthenticationTypeID>
        <AuthenticationTypeName>מ.ר.</AuthenticationTypeName>
        <LegalEntityNumber>14734</LegalEntityNumber>
        <IsMainPartyType>true</IsMainPartyType>
        <CaseDisplayIdentifier>42756-08-22</CaseDisplayIdentifier>
        <CaseTypeID>10048</CaseTypeID>
        <CaseTypeName>תיק פלילי (ת"פ)</CaseTypeName>
        <CaseName>מדינת ישראל נ' CHOLAPPALLY(עציר)</CaseName>
        <FullAddress>הנרייטה סולד 1 תל אביב -יפו </FullAddress>
        <EmailAddress>DA-TLV-criminal@justice.gov.il</EmailAddress>
        <MotionID>0</MotionID>
        <CasePleaID>0</CasePleaID>
        <LinkedCaseID>0</LinkedCaseID>
        <PartyID>1</PartyID>
        <CasePartyCategoryID>2</CasePartyCategoryID>
        <LegalEntityAddressID>76302119</LegalEntityAddressID>
        <LegalEntityEmailAddressID>68159580</LegalEntityEmail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רועי שרמן</FullName>
        <FirstName>רועי</FirstName>
        <LastName>שרמן</LastName>
        <PartyPropertyName/>
        <AuthenticationTypeAndNumber>מ.ר. 71127</AuthenticationTypeAndNumber>
        <RepresentatedOrRepresentativesNames>MANU CHOLAPPALLY</RepresentatedOrRepresentativesNames>
        <RepresentatedOrRepresentativesCount>1</RepresentatedOrRepresentativesCount>
        <InvitedBy/>
        <CaseID>79539692</CaseID>
        <CaseJudicialPersonPresentationDS>
          <CaseJudicalPersonActive>
            <CaseID>79539692</CaseID>
            <JudicialPersonID>057810202@GOV.IL</JudicialPersonID>
            <JudicialPersonTypeID>1</JudicialPersonTypeID>
            <JudicialTypeID>1</JudicialTypeID>
            <IsChairman>false</IsChairman>
            <TreatmentStartDate>2023-11-15T14:15:38.23+02:00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248654030</CasePartyID>
        <PartyTypeID>2</PartyTypeID>
        <ActivityStatusID>1</ActivityStatusID>
        <PartyAliasID>32</PartyAliasID>
        <PartyAliasName>בא כוח נאשמים</PartyAliasName>
        <LegalEntityID>74130671</LegalEntityID>
        <CaseLegalEntityID>122181481</CaseLegalEntityID>
        <AuthenticationTypeID>4</AuthenticationTypeID>
        <AuthenticationTypeName>מ.ר.</AuthenticationTypeName>
        <LegalEntityNumber>71127</LegalEntityNumber>
        <IsMainPartyType>true</IsMainPartyType>
        <CaseDisplayIdentifier>42756-08-22</CaseDisplayIdentifier>
        <CaseTypeID>10048</CaseTypeID>
        <CaseTypeName>תיק פלילי (ת"פ)</CaseTypeName>
        <CaseName>מדינת ישראל נ' CHOLAPPALLY(עציר)</CaseName>
        <FullAddress>החשמונאים 68/9 בת ים </FullAddress>
        <EmailAddress>jonba12@walla.co.il</EmailAddress>
        <MotionID>0</MotionID>
        <CasePleaID>0</CasePleaID>
        <LinkedCaseID>0</LinkedCaseID>
        <PartyID>2</PartyID>
        <CasePartyCategoryID>2</CasePartyCategoryID>
        <LegalEntityAddressID>76763897</LegalEntityAddressID>
        <LegalEntityEmailAddressID>68203380</LegalEntityEmailAddressID>
        <PleaTypeID>8</PleaTypeID>
        <LawyerOfficeName>משרד עו"ד רועי שרמן</LawyerOfficeName>
        <LawyerOfficeID>74130672</LawyerOfficeID>
        <GroupPartyAlias/>
        <IsConverted>false</IsConverted>
        <LegalEntityNameID>82584007</LegalEntityNameID>
        <RepresentatedNamesOfAssistant/>
        <LegalEntityTypeID>4</LegalEntityTypeID>
        <IsVerdictExists>false</IsVerdictExists>
        <IsAsirAzir>false</IsAsirAzir>
        <IsPublicationProhibited>false</IsPublicationProhibited>
        <PublicationProhibitedFullName>רועי שרמן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79539692</CaseID>
        <CaseJudicialPersonPresentationDS>
          <CaseJudicalPersonActive>
            <CaseID>79539692</CaseID>
            <JudicialPersonID>057810202@GOV.IL</JudicialPersonID>
            <JudicialPersonTypeID>1</JudicialPersonTypeID>
            <JudicialTypeID>1</JudicialTypeID>
            <IsChairman>false</IsChairman>
            <TreatmentStartDate>2023-11-15T14:15:38.23+02:00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244868109</CasePartyID>
        <PartyTypeID>1</PartyTypeID>
        <ActivityStatusID>1</ActivityStatusID>
        <PartyAliasID>11</PartyAliasID>
        <PartyAliasName>מאשימה</PartyAliasName>
        <OrdinalNumber>1</OrdinalNumber>
        <LegalEntityID>4</LegalEntityID>
        <CaseLegalEntityID>120982827</CaseLegalEntityID>
        <AuthenticationTypeID>41</AuthenticationTypeID>
        <AuthenticationTypeName>מדינת ישראל </AuthenticationTypeName>
        <LegalEntityNumber/>
        <IsMainPartyType>true</IsMainPartyType>
        <CaseDisplayIdentifier>42756-08-22</CaseDisplayIdentifier>
        <CaseTypeID>10048</CaseTypeID>
        <CaseTypeName>תיק פלילי (ת"פ)</CaseTypeName>
        <CaseName>מדינת ישראל נ' CHOLAPPALLY(עציר)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MANU CHOLAPPALLY (עציר)</FullName>
        <FirstName>MANU</FirstName>
        <LastName>CHOLAPPALLY</LastName>
        <PartyPropertyID>6</PartyPropertyID>
        <PartyPropertyName/>
        <AuthenticationTypeAndNumber>ת"ז 153403902</AuthenticationTypeAndNumber>
        <RepresentatedOrRepresentativesNames>רועי שרמן</RepresentatedOrRepresentativesNames>
        <RepresentatedOrRepresentativesCount>1</RepresentatedOrRepresentativesCount>
        <InvitedBy/>
        <CaseID>79539692</CaseID>
        <CaseJudicialPersonPresentationDS>
          <CaseJudicalPersonActive>
            <CaseID>79539692</CaseID>
            <JudicialPersonID>057810202@GOV.IL</JudicialPersonID>
            <JudicialPersonTypeID>1</JudicialPersonTypeID>
            <JudicialTypeID>1</JudicialTypeID>
            <IsChairman>false</IsChairman>
            <TreatmentStartDate>2023-11-15T14:15:38.23+02:00</TreatmentStartDate>
            <TreatmentFinishDate>9999-12-31T23:59:59.997+02:00</TreatmentFinishDate>
            <IdentificationCardNumber>057810202</IdentificationCardNumber>
            <DisplayName>שאול אבינור</DisplayName>
            <JudicialTypeName>שופט</JudicialTypeName>
            <CaseJudicialGroupNumber>0</CaseJudicialGroupNumber>
            <FirstName>שאול</FirstName>
            <LastName>אבינור</LastName>
            <JudicialPersonTitle>שופט</JudicialPersonTitle>
          </CaseJudicalPersonActive>
        </CaseJudicialPersonPresentationDS>
        <CasePartyID>244868111</CasePartyID>
        <PartyTypeID>1</PartyTypeID>
        <ActivityStatusID>1</ActivityStatusID>
        <PartyAliasID>13</PartyAliasID>
        <PartyAliasName>נאשם</PartyAliasName>
        <OrdinalNumber>1</OrdinalNumber>
        <LegalEntityID>80673413</LegalEntityID>
        <CaseLegalEntityID>120982829</CaseLegalEntityID>
        <AuthenticationTypeID>1</AuthenticationTypeID>
        <AuthenticationTypeName>ת"ז</AuthenticationTypeName>
        <LegalEntityNumber>153403902</LegalEntityNumber>
        <IsMainPartyType>true</IsMainPartyType>
        <CaseDisplayIdentifier>42756-08-22</CaseDisplayIdentifier>
        <CaseTypeID>10048</CaseTypeID>
        <CaseTypeName>תיק פלילי (ת"פ)</CaseTypeName>
        <CaseName>מדינת ישראל נ' CHOLAPPALLY(עציר)</CaseName>
        <FullAddress>עלומים 12 רמת גן </FullAddress>
        <MotionID>0</MotionID>
        <CasePleaID>0</CasePleaID>
        <LinkedCaseID>0</LinkedCaseID>
        <PartyID>2</PartyID>
        <CasePartyCategoryID>2</CasePartyCategoryID>
        <LegalEntityAddressID>87285208</LegalEntityAddressID>
        <PleaTypeID>8</PleaTypeID>
        <GroupPartyAlias>נאשמים</GroupPartyAlias>
        <IsConverted>false</IsConverted>
        <LegalEntityNameID>93575513</LegalEntityNameID>
        <RepresentatedNamesOfAssistant/>
        <PopulationRegisterVerificationStatusID>3</PopulationRegisterVerificationStatusID>
        <LegalEntityTypeID>1</LegalEntityTypeID>
        <IsVerdictExists>false</IsVerdictExists>
        <IsAsirAzir>true</IsAsirAzir>
        <IsPublicationProhibited>false</IsPublicationProhibited>
        <PublicationProhibitedFullName>MANU CHOLAPPALLY (עציר)</PublicationProhibitedFullName>
      </CaseParties>
    </CasePartiesSelectionDS>
    <CaseName>מדינת ישראל נ' CHOLAPPALLY(עציר)</CaseName>
    <CaseDisplayIdentifier>42756-08-22</CaseDisplayIdentifier>
    <CaseTypeShortName>ת"פ</CaseTypeShortName>
  </dt_DecisionCase>
  <dt_DecisionJudgePanel>
    <JudgeID>057810202@GOV.IL</JudgeID>
    <DisplayName>שאול אבינור</DisplayName>
    <RoleName>שופט</RoleName>
    <UserTitleName>שופט בכיר</UserTitleName>
  </dt_DecisionJudgePanel>
  <dt_LegalEntityDetails>
    <Fax>073-3924003</Fax>
    <Phone>073-3924444</Phone>
    <PartyID>1</PartyID>
    <PartyTypeID>2</PartyTypeID>
    <DecisionID>0</DecisionID>
    <StreetName>הנרייטה סולד 1</StreetName>
    <CityName>תל אביב -יפו</CityName>
    <FullName>אשרה גז</FullName>
    <Email>DA-TLV-criminal@justice.gov.il</Email>
    <IsPublicationProhibited>false</IsPublicationProhibited>
  </dt_LegalEntityDetails>
  <dt_LegalEntityDetails>
    <Fax>153-506455121</Fax>
    <PartyID>2</PartyID>
    <PartyTypeID>2</PartyTypeID>
    <DecisionID>0</DecisionID>
    <StreetName>החשמונאים 68/9</StreetName>
    <CityName>בת ים</CityName>
    <FullName>רועי שרמן</FullName>
    <Email>jonba12@walla.co.il</Email>
    <IsPublicationProhibited>false</IsPublicationProhibited>
  </dt_LegalEntityDetails>
  <dt_LegalEntityDetails>
    <Fax>03-6826404</Fax>
    <Phone>072-3740511</Phone>
    <AddressDesc/>
    <PartyID>1</PartyID>
    <PartyTypeID>3</PartyTypeID>
    <DecisionID>0</DecisionID>
    <AssistantRoleID>14</AssistantRoleID>
    <StreetName>קיבוץ גלויות 106</StreetName>
    <ZipCode>68022</ZipCode>
    <CityName>תל אביב -יפו</CityName>
    <FullName> שרות מבחן למבוגרים - תל אביב</FullName>
    <Email>f2m_025085485@molsa.gov.il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עלומים 12</StreetName>
    <CityName>רמת גן</CityName>
    <FullName>MANU CHOLAPPALLY</FullName>
    <IsPublicationProhibited>false</IsPublicationProhibited>
  </dt_LegalEntityDetails>
  <dt_CaseJudicalPersonActive>
    <CaseJudicalPerson>שופט בכיר שאול אבינור</CaseJudicalPerson>
  </dt_CaseJudicalPersonActive>
  <dt_Sitting>
    <FutureSittingDate>2023-12-14T12:00:00+02:00</FutureSittingDate>
    <PreviousMeetingDate>2023-12-04T14:30:00+02:00</PreviousMeetingDate>
    <NextSittingTypeID>15</NextSittingTypeID>
    <PreviousSittingTypeID>12</PreviousSittingTypeID>
    <NextMeetingDisplayName>שופט בכיר שאול אבינור</NextMeetingDisplayName>
    <NextMeetingRoleName>שופט</NextMeetingRoleName>
    <NextMeetingUserTitleName>שופט בכיר</NextMeetingUserTitleName>
    <NextMeetingUserUPN>057810202@GOV.IL</NextMeetingUserUPN>
    <PreviousMeetingDisplayName>שופט בכיר שאול אבינור</PreviousMeetingDisplayName>
    <PreviousMeetingRoleName>שופט</PreviousMeetingRoleName>
    <PreviousMeetingUserTitleName>שופט בכיר</PreviousMeetingUserTitleName>
    <PreviousMeetingUserUPN>057810202@GOV.IL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0C1AF-0636-48DE-A4E2-F399960431D7}">
  <ds:schemaRefs/>
</ds:datastoreItem>
</file>

<file path=customXml/itemProps2.xml><?xml version="1.0" encoding="utf-8"?>
<ds:datastoreItem xmlns:ds="http://schemas.openxmlformats.org/officeDocument/2006/customXml" ds:itemID="{14E1223D-D062-497E-9814-307A8A94C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2748</Words>
  <Characters>13740</Characters>
  <Application>Microsoft Office Word</Application>
  <DocSecurity>0</DocSecurity>
  <Lines>114</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2023-12-19T08:39:00Z</dcterms:created>
  <dcterms:modified xsi:type="dcterms:W3CDTF">2023-12-19T08:39:00Z</dcterms:modified>
</cp:coreProperties>
</file>